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6F2" w:rsidRDefault="007F66F2" w:rsidP="00B63C2D">
      <w:pPr>
        <w:jc w:val="both"/>
        <w:rPr>
          <w:b/>
        </w:rPr>
      </w:pPr>
    </w:p>
    <w:p w:rsidR="007F66F2" w:rsidRDefault="007F66F2" w:rsidP="00B63C2D">
      <w:pPr>
        <w:jc w:val="both"/>
        <w:rPr>
          <w:b/>
        </w:rPr>
      </w:pPr>
    </w:p>
    <w:p w:rsidR="005478FF" w:rsidRPr="005478FF" w:rsidRDefault="005478FF" w:rsidP="00C9776E">
      <w:pPr>
        <w:pStyle w:val="Odlomakpopisa"/>
        <w:jc w:val="center"/>
        <w:rPr>
          <w:b/>
          <w:sz w:val="28"/>
          <w:szCs w:val="28"/>
        </w:rPr>
      </w:pPr>
      <w:r w:rsidRPr="005478FF">
        <w:rPr>
          <w:b/>
          <w:sz w:val="28"/>
          <w:szCs w:val="28"/>
        </w:rPr>
        <w:t xml:space="preserve">OPIS CILJEVA I PROGRAMSKIH POLAZIŠTA MASTER PLANA TE  OPIS ZAHVATA I AKTIVNOSTI KOJI SE MASTER PLANOM PLANIRAJU S NJIHOVIM </w:t>
      </w:r>
      <w:r w:rsidR="00557A20">
        <w:rPr>
          <w:b/>
          <w:sz w:val="28"/>
          <w:szCs w:val="28"/>
        </w:rPr>
        <w:t>OPISOM I KARTOGRAFSKIM PRIKAZOM</w:t>
      </w:r>
    </w:p>
    <w:p w:rsidR="005478FF" w:rsidRDefault="005478FF" w:rsidP="005478FF">
      <w:pPr>
        <w:pStyle w:val="Odlomakpopisa"/>
        <w:jc w:val="both"/>
        <w:rPr>
          <w:b/>
        </w:rPr>
      </w:pPr>
    </w:p>
    <w:p w:rsidR="005478FF" w:rsidRDefault="005478FF" w:rsidP="005478FF">
      <w:pPr>
        <w:pStyle w:val="Odlomakpopisa"/>
        <w:jc w:val="both"/>
        <w:rPr>
          <w:b/>
        </w:rPr>
      </w:pPr>
    </w:p>
    <w:p w:rsidR="00D8760A" w:rsidRDefault="00D8760A" w:rsidP="005478FF">
      <w:pPr>
        <w:pStyle w:val="Odlomakpopisa"/>
        <w:jc w:val="both"/>
        <w:rPr>
          <w:b/>
        </w:rPr>
      </w:pPr>
      <w:r>
        <w:rPr>
          <w:b/>
        </w:rPr>
        <w:t xml:space="preserve">CILJEVI I PROGRAMSKA POLAZIŠTA </w:t>
      </w:r>
    </w:p>
    <w:p w:rsidR="00D8760A" w:rsidRPr="00D8760A" w:rsidRDefault="00D8760A" w:rsidP="002060D5">
      <w:pPr>
        <w:jc w:val="both"/>
      </w:pPr>
      <w:r w:rsidRPr="00D8760A">
        <w:t xml:space="preserve">Sukladno projektnom zadatku i dokumentaciji za nadmetanje, </w:t>
      </w:r>
      <w:r w:rsidRPr="0054697A">
        <w:rPr>
          <w:b/>
        </w:rPr>
        <w:t>glavni ciljevi</w:t>
      </w:r>
      <w:r w:rsidRPr="00D8760A">
        <w:t xml:space="preserve"> koji se žele postići izradom Master plana održive urbane mobilnosti Grada Šibenika su:</w:t>
      </w:r>
    </w:p>
    <w:p w:rsidR="00D8760A" w:rsidRPr="00E105E6" w:rsidRDefault="00D8760A" w:rsidP="002060D5">
      <w:pPr>
        <w:numPr>
          <w:ilvl w:val="0"/>
          <w:numId w:val="8"/>
        </w:numPr>
        <w:spacing w:after="0"/>
        <w:jc w:val="both"/>
      </w:pPr>
      <w:r w:rsidRPr="00E105E6">
        <w:t>Osigurati osnovu za održivi razvoj sektora (financijsku, tehničku, okolišnu</w:t>
      </w:r>
      <w:r>
        <w:t xml:space="preserve"> itd.</w:t>
      </w:r>
      <w:r w:rsidRPr="00E105E6">
        <w:t>)</w:t>
      </w:r>
    </w:p>
    <w:p w:rsidR="00D8760A" w:rsidRPr="00E105E6" w:rsidRDefault="00D8760A" w:rsidP="002060D5">
      <w:pPr>
        <w:numPr>
          <w:ilvl w:val="0"/>
          <w:numId w:val="8"/>
        </w:numPr>
        <w:spacing w:after="0"/>
        <w:jc w:val="both"/>
      </w:pPr>
      <w:r w:rsidRPr="00E105E6">
        <w:t>Postići integrirani pristup planiranja prijevoza na svim razinama - nacionalnoj, (funkcionalnoj) regionalnoj, lokalnoj, temeljen na zajedničkoj metodologiji i uspostavljanju jasnog planiranja počevši od Strategije prometnog razvitka Republike Hrvatske (SPR);</w:t>
      </w:r>
    </w:p>
    <w:p w:rsidR="00D8760A" w:rsidRPr="00E105E6" w:rsidRDefault="00D8760A" w:rsidP="002060D5">
      <w:pPr>
        <w:numPr>
          <w:ilvl w:val="0"/>
          <w:numId w:val="8"/>
        </w:numPr>
        <w:spacing w:after="0"/>
        <w:jc w:val="both"/>
      </w:pPr>
      <w:r w:rsidRPr="00E105E6">
        <w:t>Identificirati potrebe lokalne mobilnosti koje je potrebno upotpuniti s međunarodnim obrascima mobilnosti identificiranim u SPR;</w:t>
      </w:r>
    </w:p>
    <w:p w:rsidR="00D8760A" w:rsidRPr="00E105E6" w:rsidRDefault="00D8760A" w:rsidP="002060D5">
      <w:pPr>
        <w:numPr>
          <w:ilvl w:val="0"/>
          <w:numId w:val="8"/>
        </w:numPr>
        <w:spacing w:after="0"/>
        <w:jc w:val="both"/>
      </w:pPr>
      <w:r w:rsidRPr="00E105E6">
        <w:t>Razviti sveobuhvatni alat za planiranje neovisno o izvorima sredstava;</w:t>
      </w:r>
    </w:p>
    <w:p w:rsidR="00D8760A" w:rsidRPr="00E105E6" w:rsidRDefault="00D8760A" w:rsidP="002060D5">
      <w:pPr>
        <w:numPr>
          <w:ilvl w:val="0"/>
          <w:numId w:val="8"/>
        </w:numPr>
        <w:spacing w:after="0"/>
        <w:jc w:val="both"/>
      </w:pPr>
      <w:r w:rsidRPr="00E105E6">
        <w:t>Analizirati i predložiti razvoj u prometnom sustavu iz različitih perspektiva (organizacijske, upravljačke, funkcionalne, infrastrukturne</w:t>
      </w:r>
      <w:r>
        <w:t xml:space="preserve"> itd.</w:t>
      </w:r>
      <w:r w:rsidRPr="00E105E6">
        <w:t>)</w:t>
      </w:r>
    </w:p>
    <w:p w:rsidR="00D8760A" w:rsidRPr="00E105E6" w:rsidRDefault="00D8760A" w:rsidP="002060D5">
      <w:pPr>
        <w:numPr>
          <w:ilvl w:val="0"/>
          <w:numId w:val="8"/>
        </w:numPr>
        <w:spacing w:after="0"/>
        <w:jc w:val="both"/>
      </w:pPr>
      <w:r w:rsidRPr="00E105E6">
        <w:t>Identificirati stvarne potrebe razvoja prometn</w:t>
      </w:r>
      <w:r>
        <w:t>og</w:t>
      </w:r>
      <w:r w:rsidRPr="00E105E6">
        <w:t xml:space="preserve"> sustava kao alata za podršku </w:t>
      </w:r>
      <w:proofErr w:type="spellStart"/>
      <w:r w:rsidRPr="00E105E6">
        <w:t>socio</w:t>
      </w:r>
      <w:proofErr w:type="spellEnd"/>
      <w:r w:rsidRPr="00E105E6">
        <w:t>-ekonomskom razvoju područja;</w:t>
      </w:r>
    </w:p>
    <w:p w:rsidR="00D8760A" w:rsidRPr="00E105E6" w:rsidRDefault="00D8760A" w:rsidP="002060D5">
      <w:pPr>
        <w:numPr>
          <w:ilvl w:val="0"/>
          <w:numId w:val="8"/>
        </w:numPr>
        <w:spacing w:after="0"/>
        <w:jc w:val="both"/>
      </w:pPr>
      <w:r w:rsidRPr="00E105E6">
        <w:t xml:space="preserve">Planirati prometni sustav u skladu s potrebama ostalih </w:t>
      </w:r>
      <w:proofErr w:type="spellStart"/>
      <w:r w:rsidRPr="00E105E6">
        <w:t>socio</w:t>
      </w:r>
      <w:proofErr w:type="spellEnd"/>
      <w:r>
        <w:t>-ekonomskih sektora (obrazovanja, zdravstva</w:t>
      </w:r>
      <w:r w:rsidRPr="00E105E6">
        <w:t xml:space="preserve">, </w:t>
      </w:r>
      <w:r>
        <w:t>zbrinjavanje otpada</w:t>
      </w:r>
      <w:r w:rsidRPr="00E105E6">
        <w:t>, tur</w:t>
      </w:r>
      <w:r>
        <w:t>izma, industrije, logistike itd.</w:t>
      </w:r>
      <w:r w:rsidRPr="00E105E6">
        <w:t>)</w:t>
      </w:r>
    </w:p>
    <w:p w:rsidR="00D8760A" w:rsidRDefault="00D8760A" w:rsidP="002060D5">
      <w:pPr>
        <w:numPr>
          <w:ilvl w:val="0"/>
          <w:numId w:val="8"/>
        </w:numPr>
        <w:spacing w:after="0"/>
        <w:jc w:val="both"/>
      </w:pPr>
      <w:r w:rsidRPr="00E105E6">
        <w:t>Identificirati potrebne korake za daljnji razvoj definiranih mjera.</w:t>
      </w:r>
    </w:p>
    <w:p w:rsidR="005560F3" w:rsidRDefault="005560F3" w:rsidP="002060D5"/>
    <w:p w:rsidR="0054697A" w:rsidRPr="00E105E6" w:rsidRDefault="0054697A" w:rsidP="002060D5">
      <w:r w:rsidRPr="00E850C4">
        <w:rPr>
          <w:b/>
        </w:rPr>
        <w:t>Glavna polazišta</w:t>
      </w:r>
      <w:r>
        <w:t xml:space="preserve"> izrade </w:t>
      </w:r>
      <w:r w:rsidRPr="00E105E6">
        <w:t>Master plan</w:t>
      </w:r>
      <w:r>
        <w:t>a, definirana u dokumentaciji za nadmetanje su</w:t>
      </w:r>
      <w:r w:rsidRPr="00E105E6">
        <w:t>:</w:t>
      </w:r>
    </w:p>
    <w:p w:rsidR="0054697A" w:rsidRPr="00E105E6" w:rsidRDefault="0054697A" w:rsidP="002060D5">
      <w:pPr>
        <w:numPr>
          <w:ilvl w:val="0"/>
          <w:numId w:val="8"/>
        </w:numPr>
        <w:spacing w:after="0"/>
        <w:jc w:val="both"/>
      </w:pPr>
      <w:r>
        <w:t xml:space="preserve">Master plan kao </w:t>
      </w:r>
      <w:r w:rsidRPr="00E105E6">
        <w:t>osnov</w:t>
      </w:r>
      <w:r>
        <w:t>a</w:t>
      </w:r>
      <w:r w:rsidRPr="00E105E6">
        <w:t xml:space="preserve"> za srednjoročni i dugoročni održivi razvoj sektora;</w:t>
      </w:r>
    </w:p>
    <w:p w:rsidR="0054697A" w:rsidRPr="00E105E6" w:rsidRDefault="0054697A" w:rsidP="002060D5">
      <w:pPr>
        <w:numPr>
          <w:ilvl w:val="0"/>
          <w:numId w:val="8"/>
        </w:numPr>
        <w:spacing w:after="0"/>
        <w:jc w:val="both"/>
      </w:pPr>
      <w:r>
        <w:t xml:space="preserve">Master plan kao poticaj za </w:t>
      </w:r>
      <w:r w:rsidRPr="00E105E6">
        <w:t>razvoj cijelog sektora i po</w:t>
      </w:r>
      <w:r>
        <w:t>trebe za održavanjem neovisno o</w:t>
      </w:r>
      <w:r w:rsidRPr="00E105E6">
        <w:t xml:space="preserve"> izvorima financiranja;</w:t>
      </w:r>
    </w:p>
    <w:p w:rsidR="0054697A" w:rsidRDefault="0054697A" w:rsidP="002060D5">
      <w:pPr>
        <w:numPr>
          <w:ilvl w:val="0"/>
          <w:numId w:val="8"/>
        </w:numPr>
        <w:spacing w:after="0"/>
        <w:jc w:val="both"/>
      </w:pPr>
      <w:r w:rsidRPr="00E105E6">
        <w:t>Uključ</w:t>
      </w:r>
      <w:r>
        <w:t xml:space="preserve">enost prometa u upravljački, organizacijski i infrastrukturni razvoj; </w:t>
      </w:r>
    </w:p>
    <w:p w:rsidR="0054697A" w:rsidRPr="00E105E6" w:rsidRDefault="0054697A" w:rsidP="002060D5">
      <w:pPr>
        <w:numPr>
          <w:ilvl w:val="0"/>
          <w:numId w:val="8"/>
        </w:numPr>
        <w:spacing w:after="0"/>
        <w:jc w:val="both"/>
      </w:pPr>
      <w:r>
        <w:t>Uzimanje</w:t>
      </w:r>
      <w:r w:rsidRPr="00E105E6">
        <w:t xml:space="preserve"> u obzir potrebe održivosti izgradnje, upravljanja i održavanja;</w:t>
      </w:r>
    </w:p>
    <w:p w:rsidR="0054697A" w:rsidRPr="00E105E6" w:rsidRDefault="0054697A" w:rsidP="002060D5">
      <w:pPr>
        <w:numPr>
          <w:ilvl w:val="0"/>
          <w:numId w:val="8"/>
        </w:numPr>
        <w:spacing w:after="0"/>
        <w:jc w:val="both"/>
      </w:pPr>
      <w:r w:rsidRPr="00E105E6">
        <w:t>Uključiti snažnu stratešku analizu potreba</w:t>
      </w:r>
      <w:r>
        <w:t xml:space="preserve"> / </w:t>
      </w:r>
      <w:r w:rsidRPr="00E105E6">
        <w:t>funkcionalnosti mreže;</w:t>
      </w:r>
    </w:p>
    <w:p w:rsidR="0054697A" w:rsidRDefault="0054697A" w:rsidP="002060D5">
      <w:pPr>
        <w:numPr>
          <w:ilvl w:val="0"/>
          <w:numId w:val="8"/>
        </w:numPr>
        <w:spacing w:after="0"/>
        <w:jc w:val="both"/>
      </w:pPr>
      <w:r w:rsidRPr="00E105E6">
        <w:t>Uključiti jasnu demonstraciju potreba</w:t>
      </w:r>
      <w:r>
        <w:t xml:space="preserve"> / </w:t>
      </w:r>
      <w:r w:rsidRPr="00E105E6">
        <w:t>koncepta pojedinih opcija baziranih na analizi temeljnih pitanja;</w:t>
      </w:r>
    </w:p>
    <w:p w:rsidR="0054697A" w:rsidRPr="00E105E6" w:rsidRDefault="0054697A" w:rsidP="002060D5">
      <w:pPr>
        <w:numPr>
          <w:ilvl w:val="0"/>
          <w:numId w:val="8"/>
        </w:numPr>
        <w:spacing w:after="0"/>
        <w:jc w:val="both"/>
      </w:pPr>
      <w:r w:rsidRPr="00E105E6">
        <w:t xml:space="preserve">Biti </w:t>
      </w:r>
      <w:proofErr w:type="spellStart"/>
      <w:r w:rsidRPr="00E105E6">
        <w:t>intermodalan</w:t>
      </w:r>
      <w:proofErr w:type="spellEnd"/>
      <w:r w:rsidRPr="00E105E6">
        <w:t>;</w:t>
      </w:r>
    </w:p>
    <w:p w:rsidR="0054697A" w:rsidRPr="00E105E6" w:rsidRDefault="0054697A" w:rsidP="002060D5">
      <w:pPr>
        <w:numPr>
          <w:ilvl w:val="0"/>
          <w:numId w:val="8"/>
        </w:numPr>
        <w:spacing w:after="0"/>
        <w:jc w:val="both"/>
      </w:pPr>
      <w:r w:rsidRPr="00E105E6">
        <w:t>Uključ</w:t>
      </w:r>
      <w:r>
        <w:t>enost</w:t>
      </w:r>
      <w:r w:rsidRPr="00E105E6">
        <w:t xml:space="preserve"> razmatranja sustavnih reformi ako je to potrebno (npr. Proces planiranja);</w:t>
      </w:r>
    </w:p>
    <w:p w:rsidR="0054697A" w:rsidRPr="00E105E6" w:rsidRDefault="0054697A" w:rsidP="002060D5">
      <w:pPr>
        <w:numPr>
          <w:ilvl w:val="0"/>
          <w:numId w:val="8"/>
        </w:numPr>
        <w:spacing w:after="0"/>
        <w:jc w:val="both"/>
      </w:pPr>
      <w:r>
        <w:t>Temeljiti</w:t>
      </w:r>
      <w:r w:rsidRPr="00E105E6">
        <w:t xml:space="preserve"> se na relevantnim ciljevima gospodarskog i socijalnog razvoja te ciljevima očuvanja okoliša;</w:t>
      </w:r>
    </w:p>
    <w:p w:rsidR="0054697A" w:rsidRPr="00E105E6" w:rsidRDefault="0054697A" w:rsidP="002060D5">
      <w:pPr>
        <w:numPr>
          <w:ilvl w:val="0"/>
          <w:numId w:val="8"/>
        </w:numPr>
        <w:spacing w:after="0"/>
        <w:jc w:val="both"/>
      </w:pPr>
      <w:r w:rsidRPr="00E105E6">
        <w:t>Osigurati poveznicu između relevantnih EU politika i planiranih projekata:</w:t>
      </w:r>
    </w:p>
    <w:p w:rsidR="0054697A" w:rsidRPr="00E105E6" w:rsidRDefault="0054697A" w:rsidP="002060D5">
      <w:pPr>
        <w:numPr>
          <w:ilvl w:val="0"/>
          <w:numId w:val="8"/>
        </w:numPr>
        <w:spacing w:after="0"/>
        <w:jc w:val="both"/>
      </w:pPr>
      <w:r w:rsidRPr="00E105E6">
        <w:t>Osigurati osnovu za daljnji razvoj projekata;</w:t>
      </w:r>
    </w:p>
    <w:p w:rsidR="0054697A" w:rsidRDefault="0054697A" w:rsidP="002060D5">
      <w:pPr>
        <w:numPr>
          <w:ilvl w:val="0"/>
          <w:numId w:val="8"/>
        </w:numPr>
        <w:spacing w:after="0"/>
        <w:jc w:val="both"/>
      </w:pPr>
      <w:r>
        <w:t xml:space="preserve">Omogućiti </w:t>
      </w:r>
      <w:r w:rsidRPr="00E105E6">
        <w:t>uključivanje novih informacija i razvoj</w:t>
      </w:r>
      <w:r>
        <w:t>a</w:t>
      </w:r>
      <w:r w:rsidRPr="00E105E6">
        <w:t xml:space="preserve"> </w:t>
      </w:r>
      <w:r>
        <w:t>plana u budućnosti;</w:t>
      </w:r>
    </w:p>
    <w:p w:rsidR="0054697A" w:rsidRPr="00E105E6" w:rsidRDefault="0054697A" w:rsidP="002060D5">
      <w:pPr>
        <w:numPr>
          <w:ilvl w:val="0"/>
          <w:numId w:val="8"/>
        </w:numPr>
        <w:spacing w:after="0"/>
        <w:jc w:val="both"/>
      </w:pPr>
      <w:r w:rsidRPr="00E105E6">
        <w:t>Omogućiti uključivanje postojećih strategija;</w:t>
      </w:r>
    </w:p>
    <w:p w:rsidR="0054697A" w:rsidRPr="00E105E6" w:rsidRDefault="0054697A" w:rsidP="002060D5">
      <w:pPr>
        <w:numPr>
          <w:ilvl w:val="0"/>
          <w:numId w:val="8"/>
        </w:numPr>
        <w:spacing w:after="0"/>
        <w:jc w:val="both"/>
      </w:pPr>
      <w:r w:rsidRPr="00E105E6">
        <w:t>Biti fokusiran na ljude, pristupačnost, kvalitetu života, održivost, socijalnu jednakost, zdravlje i održivost okoliša;</w:t>
      </w:r>
    </w:p>
    <w:p w:rsidR="0054697A" w:rsidRPr="00E105E6" w:rsidRDefault="0054697A" w:rsidP="002060D5">
      <w:pPr>
        <w:numPr>
          <w:ilvl w:val="0"/>
          <w:numId w:val="8"/>
        </w:numPr>
        <w:spacing w:after="0"/>
        <w:jc w:val="both"/>
      </w:pPr>
      <w:r w:rsidRPr="00E105E6">
        <w:t>Osigurati ravnomjerni razvoj svih relevantnih načina prijevoza i pomak prema čišćim i održivim prijevoznim modelima;</w:t>
      </w:r>
    </w:p>
    <w:p w:rsidR="0054697A" w:rsidRPr="00E105E6" w:rsidRDefault="0054697A" w:rsidP="002060D5">
      <w:pPr>
        <w:numPr>
          <w:ilvl w:val="0"/>
          <w:numId w:val="8"/>
        </w:numPr>
        <w:spacing w:after="0"/>
        <w:jc w:val="both"/>
      </w:pPr>
      <w:r w:rsidRPr="00E105E6">
        <w:t xml:space="preserve">Integrirati paket aktivnosti za postizanje troškovne učinkovitosti; </w:t>
      </w:r>
    </w:p>
    <w:p w:rsidR="0054697A" w:rsidRPr="00E105E6" w:rsidRDefault="00660F6D" w:rsidP="002060D5">
      <w:pPr>
        <w:numPr>
          <w:ilvl w:val="0"/>
          <w:numId w:val="8"/>
        </w:numPr>
        <w:spacing w:after="0"/>
        <w:jc w:val="both"/>
      </w:pPr>
      <w:r>
        <w:t xml:space="preserve">Osigurati dosljednost i komplementarnost s </w:t>
      </w:r>
      <w:r w:rsidR="0054697A" w:rsidRPr="00E105E6">
        <w:t>povezanim područjima (kao prostorno planiranje, socijalne usluge, zdravstvo, zaštita i sigurnost)</w:t>
      </w:r>
    </w:p>
    <w:p w:rsidR="0054697A" w:rsidRPr="00E105E6" w:rsidRDefault="0054697A" w:rsidP="002060D5">
      <w:pPr>
        <w:numPr>
          <w:ilvl w:val="0"/>
          <w:numId w:val="8"/>
        </w:numPr>
        <w:spacing w:after="0"/>
        <w:jc w:val="both"/>
      </w:pPr>
      <w:r w:rsidRPr="00E105E6">
        <w:t>Omogućiti kratkoročni i srednjoročni plan građen u dugoročnu viziju i strategiju;</w:t>
      </w:r>
    </w:p>
    <w:p w:rsidR="0054697A" w:rsidRPr="00E105E6" w:rsidRDefault="0054697A" w:rsidP="002060D5">
      <w:pPr>
        <w:numPr>
          <w:ilvl w:val="0"/>
          <w:numId w:val="8"/>
        </w:numPr>
        <w:spacing w:after="0"/>
        <w:jc w:val="both"/>
      </w:pPr>
      <w:r w:rsidRPr="00E105E6">
        <w:t>Povezan s funkcionalnom regijom baziranom na obrascima putovanja do posla</w:t>
      </w:r>
      <w:r>
        <w:t xml:space="preserve"> / </w:t>
      </w:r>
      <w:r w:rsidRPr="00E105E6">
        <w:t>škole;</w:t>
      </w:r>
    </w:p>
    <w:p w:rsidR="00E850C4" w:rsidRDefault="0054697A" w:rsidP="002060D5">
      <w:pPr>
        <w:numPr>
          <w:ilvl w:val="0"/>
          <w:numId w:val="8"/>
        </w:numPr>
        <w:spacing w:after="0"/>
        <w:jc w:val="both"/>
        <w:sectPr w:rsidR="00E850C4" w:rsidSect="00686575">
          <w:headerReference w:type="default" r:id="rId9"/>
          <w:pgSz w:w="11906" w:h="16838"/>
          <w:pgMar w:top="1856" w:right="1417" w:bottom="1417" w:left="1417" w:header="1134" w:footer="708" w:gutter="0"/>
          <w:cols w:space="708"/>
          <w:docGrid w:linePitch="360"/>
        </w:sectPr>
      </w:pPr>
      <w:r w:rsidRPr="00E105E6">
        <w:t xml:space="preserve">Planiranje uključivanjem dionika koristeći transparentni i </w:t>
      </w:r>
      <w:proofErr w:type="spellStart"/>
      <w:r w:rsidRPr="00E105E6">
        <w:t>participatorni</w:t>
      </w:r>
      <w:proofErr w:type="spellEnd"/>
      <w:r w:rsidRPr="00E105E6">
        <w:t xml:space="preserve"> pristup.</w:t>
      </w:r>
    </w:p>
    <w:p w:rsidR="005560F3" w:rsidRPr="0054697A" w:rsidRDefault="005560F3" w:rsidP="002060D5">
      <w:pPr>
        <w:spacing w:after="120"/>
        <w:rPr>
          <w:b/>
        </w:rPr>
      </w:pPr>
      <w:r w:rsidRPr="0054697A">
        <w:rPr>
          <w:b/>
        </w:rPr>
        <w:t>Prostorni obuhvat plana</w:t>
      </w:r>
    </w:p>
    <w:p w:rsidR="005560F3" w:rsidRDefault="005560F3" w:rsidP="002060D5">
      <w:pPr>
        <w:spacing w:after="0"/>
        <w:jc w:val="both"/>
      </w:pPr>
      <w:r w:rsidRPr="00E105E6">
        <w:t xml:space="preserve">Master plan </w:t>
      </w:r>
      <w:r w:rsidR="0054697A">
        <w:t>održive urbane mobilnosti Grada Šibenika obuhvaća</w:t>
      </w:r>
      <w:r>
        <w:t xml:space="preserve"> sva naselja administrativnog </w:t>
      </w:r>
      <w:r w:rsidRPr="00E105E6">
        <w:t xml:space="preserve">područja </w:t>
      </w:r>
      <w:r>
        <w:t>G</w:t>
      </w:r>
      <w:r w:rsidRPr="00E105E6">
        <w:t>rada Šibenika, uključujući otoke i okolna primorska naselja</w:t>
      </w:r>
      <w:r w:rsidR="0054697A">
        <w:t>.</w:t>
      </w:r>
      <w:r w:rsidR="002F35F4">
        <w:t xml:space="preserve"> Analitička faza izrade Master plana uzet će u obzir i </w:t>
      </w:r>
      <w:proofErr w:type="spellStart"/>
      <w:r w:rsidR="002F35F4">
        <w:t>socio</w:t>
      </w:r>
      <w:proofErr w:type="spellEnd"/>
      <w:r w:rsidR="002F35F4">
        <w:t>-funkcionalna obilježja na razini Šibensko-kninske županije.</w:t>
      </w:r>
    </w:p>
    <w:p w:rsidR="00E850C4" w:rsidRDefault="0067096D" w:rsidP="00E850C4">
      <w:pPr>
        <w:spacing w:after="0" w:line="240" w:lineRule="auto"/>
        <w:sectPr w:rsidR="00E850C4" w:rsidSect="00E850C4">
          <w:pgSz w:w="16838" w:h="11906" w:orient="landscape"/>
          <w:pgMar w:top="1417" w:right="1417" w:bottom="1417" w:left="1417" w:header="708" w:footer="708" w:gutter="0"/>
          <w:cols w:space="708"/>
          <w:docGrid w:linePitch="360"/>
        </w:sectPr>
      </w:pPr>
      <w:r>
        <w:rPr>
          <w:noProof/>
        </w:rPr>
        <w:drawing>
          <wp:inline distT="0" distB="0" distL="0" distR="0">
            <wp:extent cx="6463863" cy="477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9" r="1133" b="1447"/>
                    <a:stretch/>
                  </pic:blipFill>
                  <pic:spPr bwMode="auto">
                    <a:xfrm>
                      <a:off x="0" y="0"/>
                      <a:ext cx="6473064" cy="4777446"/>
                    </a:xfrm>
                    <a:prstGeom prst="rect">
                      <a:avLst/>
                    </a:prstGeom>
                    <a:noFill/>
                    <a:ln>
                      <a:noFill/>
                    </a:ln>
                    <a:extLst>
                      <a:ext uri="{53640926-AAD7-44D8-BBD7-CCE9431645EC}">
                        <a14:shadowObscured xmlns:a14="http://schemas.microsoft.com/office/drawing/2010/main"/>
                      </a:ext>
                    </a:extLst>
                  </pic:spPr>
                </pic:pic>
              </a:graphicData>
            </a:graphic>
          </wp:inline>
        </w:drawing>
      </w:r>
      <w:r w:rsidR="00E850C4">
        <w:br/>
        <w:t>Sl. 1.  Prostorni obuhvat Master plana održive urbane mobilnosti Grada Šibenika</w:t>
      </w:r>
    </w:p>
    <w:p w:rsidR="00B63C2D" w:rsidRDefault="005F2777" w:rsidP="00B63C2D">
      <w:pPr>
        <w:pStyle w:val="Odlomakpopisa"/>
        <w:numPr>
          <w:ilvl w:val="0"/>
          <w:numId w:val="2"/>
        </w:numPr>
        <w:jc w:val="both"/>
        <w:rPr>
          <w:b/>
        </w:rPr>
      </w:pPr>
      <w:r w:rsidRPr="004E4EDF">
        <w:rPr>
          <w:b/>
        </w:rPr>
        <w:t>METODOLOGIJA IZRADE MASTER PLANA</w:t>
      </w:r>
    </w:p>
    <w:p w:rsidR="00B63C2D" w:rsidRPr="00B63C2D" w:rsidRDefault="00B63C2D" w:rsidP="00B63C2D">
      <w:pPr>
        <w:pStyle w:val="Odlomakpopisa"/>
        <w:jc w:val="both"/>
        <w:rPr>
          <w:b/>
        </w:rPr>
      </w:pPr>
    </w:p>
    <w:p w:rsidR="005F2777" w:rsidRDefault="005F2777" w:rsidP="00B63C2D">
      <w:pPr>
        <w:pStyle w:val="Odlomakpopisa"/>
        <w:numPr>
          <w:ilvl w:val="0"/>
          <w:numId w:val="6"/>
        </w:numPr>
        <w:jc w:val="both"/>
      </w:pPr>
      <w:r w:rsidRPr="004E4EDF">
        <w:t>Metodologija</w:t>
      </w:r>
      <w:r w:rsidR="00513E83" w:rsidRPr="004E4EDF">
        <w:t xml:space="preserve"> izrade i obuhvat PUM-a (iz dosadašnje dokumentacije)</w:t>
      </w:r>
    </w:p>
    <w:p w:rsidR="00B63C2D" w:rsidRPr="0039695E" w:rsidRDefault="00B63C2D" w:rsidP="00B63C2D">
      <w:pPr>
        <w:ind w:left="360"/>
        <w:jc w:val="both"/>
      </w:pPr>
      <w:r>
        <w:t>Metodologija i procedure u provedbi izrade Master plan održive urbane mobilnosti Grada Šibenika u skladu su sa smjernicama agencije JASPERS.  S obzirom na spomenute smjernice i projektni zadatak identificirane su sljedeće projektne aktivnosti:</w:t>
      </w:r>
    </w:p>
    <w:p w:rsidR="00B63C2D" w:rsidRPr="00B63C2D" w:rsidRDefault="00206991" w:rsidP="00B63C2D">
      <w:pPr>
        <w:tabs>
          <w:tab w:val="left" w:pos="1116"/>
        </w:tabs>
        <w:spacing w:line="240" w:lineRule="auto"/>
        <w:ind w:left="360"/>
        <w:jc w:val="both"/>
        <w:rPr>
          <w:b/>
          <w:bCs/>
        </w:rPr>
      </w:pPr>
      <w:r>
        <w:rPr>
          <w:b/>
          <w:bCs/>
        </w:rPr>
        <w:t>1.</w:t>
      </w:r>
      <w:r w:rsidR="00B63C2D" w:rsidRPr="00B63C2D">
        <w:rPr>
          <w:b/>
          <w:bCs/>
        </w:rPr>
        <w:tab/>
        <w:t>Prikupljanje podataka</w:t>
      </w:r>
    </w:p>
    <w:p w:rsidR="00B63C2D" w:rsidRPr="00950C5F" w:rsidRDefault="00B63C2D" w:rsidP="00B63C2D">
      <w:pPr>
        <w:tabs>
          <w:tab w:val="left" w:pos="1116"/>
        </w:tabs>
        <w:spacing w:line="240" w:lineRule="auto"/>
        <w:ind w:left="360"/>
        <w:jc w:val="both"/>
      </w:pPr>
      <w:r w:rsidRPr="00950C5F">
        <w:t>1.1</w:t>
      </w:r>
      <w:r w:rsidRPr="00950C5F">
        <w:tab/>
        <w:t>Provjera kvalitete i dostupnosti postojećih podataka</w:t>
      </w:r>
    </w:p>
    <w:p w:rsidR="00B63C2D" w:rsidRPr="00950C5F" w:rsidRDefault="00B63C2D" w:rsidP="00B63C2D">
      <w:pPr>
        <w:tabs>
          <w:tab w:val="left" w:pos="1116"/>
        </w:tabs>
        <w:spacing w:line="240" w:lineRule="auto"/>
        <w:ind w:left="360"/>
        <w:jc w:val="both"/>
      </w:pPr>
      <w:r w:rsidRPr="00950C5F">
        <w:t>1.2</w:t>
      </w:r>
      <w:r w:rsidRPr="00950C5F">
        <w:tab/>
        <w:t>Prikupljanje podataka (identificiranih u 1.1)</w:t>
      </w:r>
    </w:p>
    <w:p w:rsidR="00B63C2D" w:rsidRPr="00950C5F" w:rsidRDefault="00B63C2D" w:rsidP="00B63C2D">
      <w:pPr>
        <w:tabs>
          <w:tab w:val="left" w:pos="1116"/>
        </w:tabs>
        <w:spacing w:line="240" w:lineRule="auto"/>
        <w:ind w:left="360"/>
        <w:jc w:val="both"/>
      </w:pPr>
      <w:r w:rsidRPr="00950C5F">
        <w:t xml:space="preserve">1.3 </w:t>
      </w:r>
      <w:r w:rsidRPr="00950C5F">
        <w:tab/>
        <w:t>Pribavljanje svih postojećih i relevantnih planova analiziranog područja</w:t>
      </w:r>
    </w:p>
    <w:p w:rsidR="00B63C2D" w:rsidRPr="00950C5F" w:rsidRDefault="00B63C2D" w:rsidP="00B63C2D">
      <w:pPr>
        <w:tabs>
          <w:tab w:val="left" w:pos="1116"/>
        </w:tabs>
        <w:spacing w:line="240" w:lineRule="auto"/>
        <w:ind w:left="360"/>
        <w:jc w:val="both"/>
      </w:pPr>
      <w:r w:rsidRPr="00950C5F">
        <w:t>1.4</w:t>
      </w:r>
      <w:r w:rsidRPr="00950C5F">
        <w:tab/>
        <w:t>Izrada "redovitog plana generiranja podataka" </w:t>
      </w:r>
    </w:p>
    <w:p w:rsidR="00B63C2D" w:rsidRPr="00B63C2D" w:rsidRDefault="00B63C2D" w:rsidP="00B63C2D">
      <w:pPr>
        <w:tabs>
          <w:tab w:val="left" w:pos="1116"/>
        </w:tabs>
        <w:spacing w:line="240" w:lineRule="auto"/>
        <w:ind w:left="360"/>
        <w:jc w:val="both"/>
        <w:rPr>
          <w:b/>
          <w:bCs/>
        </w:rPr>
      </w:pPr>
      <w:r w:rsidRPr="00B63C2D">
        <w:rPr>
          <w:b/>
          <w:bCs/>
        </w:rPr>
        <w:t>2</w:t>
      </w:r>
      <w:r w:rsidR="00206991">
        <w:rPr>
          <w:b/>
          <w:bCs/>
        </w:rPr>
        <w:t>.</w:t>
      </w:r>
      <w:r w:rsidRPr="00B63C2D">
        <w:rPr>
          <w:b/>
          <w:bCs/>
        </w:rPr>
        <w:tab/>
        <w:t>Istraživanja prometne potražnje (priprema, nadzor i implementacija)</w:t>
      </w:r>
    </w:p>
    <w:p w:rsidR="00B63C2D" w:rsidRPr="00950C5F" w:rsidRDefault="00B63C2D" w:rsidP="00B63C2D">
      <w:pPr>
        <w:tabs>
          <w:tab w:val="left" w:pos="1116"/>
        </w:tabs>
        <w:spacing w:line="240" w:lineRule="auto"/>
        <w:ind w:left="360"/>
        <w:jc w:val="both"/>
      </w:pPr>
      <w:r w:rsidRPr="00950C5F">
        <w:t>2.1</w:t>
      </w:r>
      <w:r w:rsidRPr="00950C5F">
        <w:tab/>
        <w:t>Istraživanja kućanstava</w:t>
      </w:r>
    </w:p>
    <w:p w:rsidR="00B63C2D" w:rsidRPr="00950C5F" w:rsidRDefault="00B63C2D" w:rsidP="00B63C2D">
      <w:pPr>
        <w:tabs>
          <w:tab w:val="left" w:pos="1116"/>
        </w:tabs>
        <w:spacing w:line="240" w:lineRule="auto"/>
        <w:ind w:left="360"/>
        <w:jc w:val="both"/>
      </w:pPr>
      <w:r w:rsidRPr="00950C5F">
        <w:t>2.2</w:t>
      </w:r>
      <w:r w:rsidRPr="00950C5F">
        <w:tab/>
        <w:t>Screen-line istraživanje</w:t>
      </w:r>
    </w:p>
    <w:p w:rsidR="00B63C2D" w:rsidRPr="00950C5F" w:rsidRDefault="00B63C2D" w:rsidP="00B63C2D">
      <w:pPr>
        <w:tabs>
          <w:tab w:val="left" w:pos="1116"/>
        </w:tabs>
        <w:spacing w:line="240" w:lineRule="auto"/>
        <w:ind w:left="360"/>
        <w:jc w:val="both"/>
      </w:pPr>
      <w:r w:rsidRPr="00950C5F">
        <w:t>2.3</w:t>
      </w:r>
      <w:r w:rsidRPr="00950C5F">
        <w:tab/>
        <w:t xml:space="preserve">Vanjsko i unutarnje </w:t>
      </w:r>
      <w:proofErr w:type="spellStart"/>
      <w:r w:rsidRPr="00950C5F">
        <w:t>cordon</w:t>
      </w:r>
      <w:proofErr w:type="spellEnd"/>
      <w:r w:rsidRPr="00950C5F">
        <w:t xml:space="preserve"> istraživanje</w:t>
      </w:r>
    </w:p>
    <w:p w:rsidR="00B63C2D" w:rsidRPr="00950C5F" w:rsidRDefault="00B63C2D" w:rsidP="00B63C2D">
      <w:pPr>
        <w:tabs>
          <w:tab w:val="left" w:pos="1116"/>
        </w:tabs>
        <w:spacing w:line="240" w:lineRule="auto"/>
        <w:ind w:left="360"/>
        <w:jc w:val="both"/>
      </w:pPr>
      <w:r w:rsidRPr="00950C5F">
        <w:t>2.4</w:t>
      </w:r>
      <w:r w:rsidRPr="00950C5F">
        <w:tab/>
        <w:t>Brojenje kategoriziranih vozila</w:t>
      </w:r>
    </w:p>
    <w:p w:rsidR="00B63C2D" w:rsidRPr="00950C5F" w:rsidRDefault="00B63C2D" w:rsidP="00B63C2D">
      <w:pPr>
        <w:tabs>
          <w:tab w:val="left" w:pos="1116"/>
        </w:tabs>
        <w:spacing w:line="240" w:lineRule="auto"/>
        <w:ind w:left="360"/>
        <w:jc w:val="both"/>
      </w:pPr>
      <w:r w:rsidRPr="00950C5F">
        <w:t>2.5</w:t>
      </w:r>
      <w:r w:rsidRPr="00950C5F">
        <w:tab/>
        <w:t>Istraživanje javnog prijevoza</w:t>
      </w:r>
    </w:p>
    <w:p w:rsidR="00B63C2D" w:rsidRPr="00950C5F" w:rsidRDefault="00B63C2D" w:rsidP="00B63C2D">
      <w:pPr>
        <w:tabs>
          <w:tab w:val="left" w:pos="1116"/>
        </w:tabs>
        <w:spacing w:line="240" w:lineRule="auto"/>
        <w:ind w:left="360"/>
        <w:jc w:val="both"/>
      </w:pPr>
      <w:r w:rsidRPr="00950C5F">
        <w:t>2.6</w:t>
      </w:r>
      <w:r w:rsidRPr="00950C5F">
        <w:tab/>
        <w:t>Istraživanje sustava parkirališta</w:t>
      </w:r>
    </w:p>
    <w:p w:rsidR="00B63C2D" w:rsidRPr="00B63C2D" w:rsidRDefault="00B63C2D" w:rsidP="00B63C2D">
      <w:pPr>
        <w:tabs>
          <w:tab w:val="left" w:pos="1116"/>
        </w:tabs>
        <w:spacing w:line="240" w:lineRule="auto"/>
        <w:ind w:left="360"/>
        <w:jc w:val="both"/>
        <w:rPr>
          <w:b/>
          <w:bCs/>
        </w:rPr>
      </w:pPr>
      <w:r w:rsidRPr="00B63C2D">
        <w:rPr>
          <w:b/>
          <w:bCs/>
        </w:rPr>
        <w:t>3</w:t>
      </w:r>
      <w:r w:rsidR="00206991">
        <w:rPr>
          <w:b/>
          <w:bCs/>
        </w:rPr>
        <w:t>.</w:t>
      </w:r>
      <w:r w:rsidRPr="00B63C2D">
        <w:rPr>
          <w:b/>
          <w:bCs/>
        </w:rPr>
        <w:tab/>
        <w:t>Redovni plan prikupljanja podataka</w:t>
      </w:r>
    </w:p>
    <w:p w:rsidR="00B63C2D" w:rsidRPr="00950C5F" w:rsidRDefault="00B63C2D" w:rsidP="00B63C2D">
      <w:pPr>
        <w:tabs>
          <w:tab w:val="left" w:pos="1116"/>
        </w:tabs>
        <w:spacing w:line="240" w:lineRule="auto"/>
        <w:ind w:left="360"/>
        <w:jc w:val="both"/>
      </w:pPr>
      <w:r w:rsidRPr="00950C5F">
        <w:t>3.1</w:t>
      </w:r>
      <w:r w:rsidRPr="00950C5F">
        <w:tab/>
        <w:t>Definiranje metoda i učestalosti prikupljanja za svaki tip podataka</w:t>
      </w:r>
    </w:p>
    <w:p w:rsidR="00B63C2D" w:rsidRPr="00B63C2D" w:rsidRDefault="00B63C2D" w:rsidP="00B63C2D">
      <w:pPr>
        <w:tabs>
          <w:tab w:val="left" w:pos="1116"/>
        </w:tabs>
        <w:spacing w:line="240" w:lineRule="auto"/>
        <w:ind w:left="360"/>
        <w:jc w:val="both"/>
        <w:rPr>
          <w:b/>
          <w:bCs/>
        </w:rPr>
      </w:pPr>
      <w:r w:rsidRPr="00B63C2D">
        <w:rPr>
          <w:b/>
          <w:bCs/>
        </w:rPr>
        <w:t>4</w:t>
      </w:r>
      <w:r w:rsidR="00206991">
        <w:rPr>
          <w:b/>
          <w:bCs/>
        </w:rPr>
        <w:t>.</w:t>
      </w:r>
      <w:r w:rsidRPr="00B63C2D">
        <w:rPr>
          <w:b/>
          <w:bCs/>
        </w:rPr>
        <w:tab/>
        <w:t xml:space="preserve">Razvoj </w:t>
      </w:r>
      <w:proofErr w:type="spellStart"/>
      <w:r w:rsidRPr="00B63C2D">
        <w:rPr>
          <w:b/>
          <w:bCs/>
        </w:rPr>
        <w:t>multimodalnog</w:t>
      </w:r>
      <w:proofErr w:type="spellEnd"/>
      <w:r w:rsidRPr="00B63C2D">
        <w:rPr>
          <w:b/>
          <w:bCs/>
        </w:rPr>
        <w:t xml:space="preserve"> transportnog modela</w:t>
      </w:r>
    </w:p>
    <w:p w:rsidR="00B63C2D" w:rsidRPr="00950C5F" w:rsidRDefault="00B63C2D" w:rsidP="00B63C2D">
      <w:pPr>
        <w:tabs>
          <w:tab w:val="left" w:pos="1116"/>
        </w:tabs>
        <w:spacing w:line="240" w:lineRule="auto"/>
        <w:ind w:left="360"/>
        <w:jc w:val="both"/>
      </w:pPr>
      <w:r w:rsidRPr="00950C5F">
        <w:t>4.1</w:t>
      </w:r>
      <w:r w:rsidRPr="00950C5F">
        <w:tab/>
        <w:t xml:space="preserve">Model početne godine (4 </w:t>
      </w:r>
      <w:proofErr w:type="spellStart"/>
      <w:r w:rsidRPr="00950C5F">
        <w:t>step</w:t>
      </w:r>
      <w:proofErr w:type="spellEnd"/>
      <w:r w:rsidRPr="00950C5F">
        <w:t>) za PGDP</w:t>
      </w:r>
    </w:p>
    <w:p w:rsidR="00B63C2D" w:rsidRPr="00950C5F" w:rsidRDefault="00B63C2D" w:rsidP="00B63C2D">
      <w:pPr>
        <w:tabs>
          <w:tab w:val="left" w:pos="1116"/>
        </w:tabs>
        <w:spacing w:line="240" w:lineRule="auto"/>
        <w:ind w:left="360"/>
        <w:jc w:val="both"/>
      </w:pPr>
      <w:r w:rsidRPr="00950C5F">
        <w:t>4.2</w:t>
      </w:r>
      <w:r w:rsidRPr="00950C5F">
        <w:tab/>
        <w:t xml:space="preserve">Model početne godine (4 </w:t>
      </w:r>
      <w:proofErr w:type="spellStart"/>
      <w:r w:rsidRPr="00950C5F">
        <w:t>step</w:t>
      </w:r>
      <w:proofErr w:type="spellEnd"/>
      <w:r w:rsidRPr="00950C5F">
        <w:t>) za vršni sat</w:t>
      </w:r>
    </w:p>
    <w:p w:rsidR="00B63C2D" w:rsidRPr="00950C5F" w:rsidRDefault="00B63C2D" w:rsidP="00B63C2D">
      <w:pPr>
        <w:tabs>
          <w:tab w:val="left" w:pos="1116"/>
        </w:tabs>
        <w:spacing w:line="240" w:lineRule="auto"/>
        <w:ind w:left="360"/>
        <w:jc w:val="both"/>
      </w:pPr>
      <w:r w:rsidRPr="00950C5F">
        <w:t>4.3</w:t>
      </w:r>
      <w:r w:rsidRPr="00950C5F">
        <w:tab/>
        <w:t>Teretni promet prikazan kao zasebna kategorija vozila</w:t>
      </w:r>
    </w:p>
    <w:p w:rsidR="00B63C2D" w:rsidRPr="00950C5F" w:rsidRDefault="00B63C2D" w:rsidP="00B63C2D">
      <w:pPr>
        <w:tabs>
          <w:tab w:val="left" w:pos="1116"/>
        </w:tabs>
        <w:spacing w:line="240" w:lineRule="auto"/>
        <w:ind w:left="360"/>
        <w:jc w:val="both"/>
      </w:pPr>
      <w:r w:rsidRPr="00950C5F">
        <w:t>4.4</w:t>
      </w:r>
      <w:r w:rsidRPr="00950C5F">
        <w:tab/>
        <w:t xml:space="preserve">Kalibracija, validacija i verifikacija modela </w:t>
      </w:r>
      <w:proofErr w:type="spellStart"/>
      <w:r w:rsidRPr="00950C5F">
        <w:t>počene</w:t>
      </w:r>
      <w:proofErr w:type="spellEnd"/>
      <w:r w:rsidRPr="00950C5F">
        <w:t xml:space="preserve"> godine</w:t>
      </w:r>
    </w:p>
    <w:p w:rsidR="00B63C2D" w:rsidRPr="00950C5F" w:rsidRDefault="00B63C2D" w:rsidP="00B63C2D">
      <w:pPr>
        <w:tabs>
          <w:tab w:val="left" w:pos="1116"/>
        </w:tabs>
        <w:spacing w:line="240" w:lineRule="auto"/>
        <w:ind w:left="360"/>
        <w:jc w:val="both"/>
      </w:pPr>
      <w:r w:rsidRPr="00950C5F">
        <w:t>4.5</w:t>
      </w:r>
      <w:r w:rsidRPr="00950C5F">
        <w:tab/>
        <w:t>Razvoj modela prognoze za godine 2020., 2025. i 2030.</w:t>
      </w:r>
    </w:p>
    <w:p w:rsidR="00B63C2D" w:rsidRPr="00950C5F" w:rsidRDefault="00B63C2D" w:rsidP="00B63C2D">
      <w:pPr>
        <w:tabs>
          <w:tab w:val="left" w:pos="1116"/>
        </w:tabs>
        <w:ind w:left="360"/>
        <w:jc w:val="both"/>
      </w:pPr>
      <w:r w:rsidRPr="00950C5F">
        <w:t>4.6</w:t>
      </w:r>
      <w:r w:rsidRPr="00950C5F">
        <w:tab/>
        <w:t>Osposobljavanje Naručiteljevih stručnjaka: 3 kvalificirane osobe</w:t>
      </w:r>
      <w:r>
        <w:t xml:space="preserve"> + korisnički priručnik</w:t>
      </w:r>
    </w:p>
    <w:p w:rsidR="00B63C2D" w:rsidRPr="00B63C2D" w:rsidRDefault="00E850C4" w:rsidP="00B63C2D">
      <w:pPr>
        <w:tabs>
          <w:tab w:val="left" w:pos="1116"/>
        </w:tabs>
        <w:spacing w:line="240" w:lineRule="auto"/>
        <w:ind w:left="360"/>
        <w:jc w:val="both"/>
        <w:rPr>
          <w:b/>
          <w:bCs/>
        </w:rPr>
      </w:pPr>
      <w:r>
        <w:t> </w:t>
      </w:r>
      <w:r w:rsidR="00B63C2D" w:rsidRPr="00B63C2D">
        <w:rPr>
          <w:b/>
          <w:bCs/>
        </w:rPr>
        <w:t>5</w:t>
      </w:r>
      <w:r w:rsidR="00206991">
        <w:rPr>
          <w:b/>
          <w:bCs/>
        </w:rPr>
        <w:t>.</w:t>
      </w:r>
      <w:r w:rsidR="00B63C2D" w:rsidRPr="00B63C2D">
        <w:rPr>
          <w:b/>
          <w:bCs/>
        </w:rPr>
        <w:tab/>
        <w:t>Analiza postojeće situacije</w:t>
      </w:r>
    </w:p>
    <w:p w:rsidR="00B63C2D" w:rsidRPr="00950C5F" w:rsidRDefault="00B63C2D" w:rsidP="00B63C2D">
      <w:pPr>
        <w:tabs>
          <w:tab w:val="left" w:pos="1116"/>
        </w:tabs>
        <w:spacing w:line="240" w:lineRule="auto"/>
        <w:ind w:left="360"/>
        <w:jc w:val="both"/>
      </w:pPr>
      <w:r w:rsidRPr="00950C5F">
        <w:t>5.1</w:t>
      </w:r>
      <w:r w:rsidRPr="00950C5F">
        <w:tab/>
        <w:t>Kvaliteta infrastrukture</w:t>
      </w:r>
    </w:p>
    <w:p w:rsidR="00B63C2D" w:rsidRPr="00950C5F" w:rsidRDefault="00B63C2D" w:rsidP="00B63C2D">
      <w:pPr>
        <w:tabs>
          <w:tab w:val="left" w:pos="1116"/>
        </w:tabs>
        <w:spacing w:line="240" w:lineRule="auto"/>
        <w:ind w:left="360"/>
        <w:jc w:val="both"/>
      </w:pPr>
      <w:r w:rsidRPr="00950C5F">
        <w:t>5.2</w:t>
      </w:r>
      <w:r w:rsidRPr="00950C5F">
        <w:tab/>
        <w:t>Kapaciteti infrastrukture</w:t>
      </w:r>
    </w:p>
    <w:p w:rsidR="00B63C2D" w:rsidRPr="00950C5F" w:rsidRDefault="00B63C2D" w:rsidP="00B63C2D">
      <w:pPr>
        <w:tabs>
          <w:tab w:val="left" w:pos="1116"/>
        </w:tabs>
        <w:spacing w:line="240" w:lineRule="auto"/>
        <w:ind w:left="360"/>
        <w:jc w:val="both"/>
      </w:pPr>
      <w:r w:rsidRPr="00950C5F">
        <w:t>5.3</w:t>
      </w:r>
      <w:r w:rsidRPr="00950C5F">
        <w:tab/>
        <w:t>Sigurnost u prometu</w:t>
      </w:r>
    </w:p>
    <w:p w:rsidR="00B63C2D" w:rsidRPr="00950C5F" w:rsidRDefault="00B63C2D" w:rsidP="00B63C2D">
      <w:pPr>
        <w:tabs>
          <w:tab w:val="left" w:pos="1116"/>
        </w:tabs>
        <w:spacing w:line="240" w:lineRule="auto"/>
        <w:ind w:left="360"/>
        <w:jc w:val="both"/>
      </w:pPr>
      <w:r w:rsidRPr="00950C5F">
        <w:t>5.4</w:t>
      </w:r>
      <w:r w:rsidRPr="00950C5F">
        <w:tab/>
        <w:t>Sadašnja potražnja uključujući O/D matricu</w:t>
      </w:r>
    </w:p>
    <w:p w:rsidR="00B63C2D" w:rsidRPr="00950C5F" w:rsidRDefault="00B63C2D" w:rsidP="00B63C2D">
      <w:pPr>
        <w:tabs>
          <w:tab w:val="left" w:pos="1116"/>
        </w:tabs>
        <w:spacing w:line="240" w:lineRule="auto"/>
        <w:ind w:left="360"/>
        <w:jc w:val="both"/>
      </w:pPr>
      <w:r w:rsidRPr="00950C5F">
        <w:t>5.5</w:t>
      </w:r>
      <w:r w:rsidRPr="00950C5F">
        <w:tab/>
        <w:t>Pristupačnost</w:t>
      </w:r>
    </w:p>
    <w:p w:rsidR="00B63C2D" w:rsidRPr="00950C5F" w:rsidRDefault="00B63C2D" w:rsidP="00B63C2D">
      <w:pPr>
        <w:tabs>
          <w:tab w:val="left" w:pos="1116"/>
        </w:tabs>
        <w:spacing w:line="240" w:lineRule="auto"/>
        <w:ind w:left="360"/>
        <w:jc w:val="both"/>
      </w:pPr>
      <w:r w:rsidRPr="00950C5F">
        <w:t>5.6</w:t>
      </w:r>
      <w:r w:rsidRPr="00950C5F">
        <w:tab/>
        <w:t>Funkcionalnost mreže</w:t>
      </w:r>
    </w:p>
    <w:p w:rsidR="00B63C2D" w:rsidRPr="00950C5F" w:rsidRDefault="00B63C2D" w:rsidP="00B63C2D">
      <w:pPr>
        <w:tabs>
          <w:tab w:val="left" w:pos="1116"/>
        </w:tabs>
        <w:spacing w:line="240" w:lineRule="auto"/>
        <w:ind w:left="360"/>
        <w:jc w:val="both"/>
      </w:pPr>
      <w:r w:rsidRPr="00950C5F">
        <w:t>5.7</w:t>
      </w:r>
      <w:r w:rsidRPr="00950C5F">
        <w:tab/>
        <w:t>Kvaliteta i kapacitet voznog parka</w:t>
      </w:r>
    </w:p>
    <w:p w:rsidR="00B63C2D" w:rsidRPr="00950C5F" w:rsidRDefault="00B63C2D" w:rsidP="00B63C2D">
      <w:pPr>
        <w:tabs>
          <w:tab w:val="left" w:pos="1116"/>
        </w:tabs>
        <w:spacing w:line="240" w:lineRule="auto"/>
        <w:ind w:left="360"/>
        <w:jc w:val="both"/>
      </w:pPr>
      <w:r w:rsidRPr="00950C5F">
        <w:t>5.8</w:t>
      </w:r>
      <w:r w:rsidRPr="00950C5F">
        <w:tab/>
        <w:t>Organizacija, upravljanje i održavanje sustava</w:t>
      </w:r>
    </w:p>
    <w:p w:rsidR="00B63C2D" w:rsidRPr="00950C5F" w:rsidRDefault="00B63C2D" w:rsidP="00B63C2D">
      <w:pPr>
        <w:tabs>
          <w:tab w:val="left" w:pos="1116"/>
        </w:tabs>
        <w:spacing w:line="240" w:lineRule="auto"/>
        <w:ind w:left="360"/>
        <w:jc w:val="both"/>
      </w:pPr>
      <w:r w:rsidRPr="00950C5F">
        <w:t>5.9</w:t>
      </w:r>
      <w:r w:rsidRPr="00950C5F">
        <w:tab/>
        <w:t>Sigurnost putnika</w:t>
      </w:r>
    </w:p>
    <w:p w:rsidR="00B63C2D" w:rsidRPr="00950C5F" w:rsidRDefault="00B63C2D" w:rsidP="00B63C2D">
      <w:pPr>
        <w:tabs>
          <w:tab w:val="left" w:pos="1116"/>
        </w:tabs>
        <w:spacing w:line="240" w:lineRule="auto"/>
        <w:ind w:left="360"/>
        <w:jc w:val="both"/>
      </w:pPr>
      <w:r w:rsidRPr="00950C5F">
        <w:t>5.10</w:t>
      </w:r>
      <w:r w:rsidRPr="00950C5F">
        <w:tab/>
        <w:t>Analiza "uskih grla"</w:t>
      </w:r>
    </w:p>
    <w:p w:rsidR="00B63C2D" w:rsidRPr="00950C5F" w:rsidRDefault="00B63C2D" w:rsidP="00B63C2D">
      <w:pPr>
        <w:tabs>
          <w:tab w:val="left" w:pos="1116"/>
        </w:tabs>
        <w:spacing w:line="240" w:lineRule="auto"/>
        <w:ind w:left="360"/>
        <w:jc w:val="both"/>
      </w:pPr>
      <w:r w:rsidRPr="00950C5F">
        <w:t>5.11</w:t>
      </w:r>
      <w:r w:rsidRPr="00950C5F">
        <w:tab/>
        <w:t>Utjecaj na okoliš</w:t>
      </w:r>
    </w:p>
    <w:p w:rsidR="00B63C2D" w:rsidRPr="00950C5F" w:rsidRDefault="00B63C2D" w:rsidP="00B63C2D">
      <w:pPr>
        <w:tabs>
          <w:tab w:val="left" w:pos="1116"/>
        </w:tabs>
        <w:spacing w:line="240" w:lineRule="auto"/>
        <w:ind w:left="360"/>
        <w:jc w:val="both"/>
      </w:pPr>
      <w:r w:rsidRPr="00950C5F">
        <w:t>5.12</w:t>
      </w:r>
      <w:r w:rsidRPr="00950C5F">
        <w:tab/>
        <w:t>Sustav parkirališta</w:t>
      </w:r>
    </w:p>
    <w:p w:rsidR="00B63C2D" w:rsidRPr="00950C5F" w:rsidRDefault="00B63C2D" w:rsidP="00B63C2D">
      <w:pPr>
        <w:tabs>
          <w:tab w:val="left" w:pos="1116"/>
        </w:tabs>
        <w:spacing w:line="240" w:lineRule="auto"/>
        <w:ind w:left="360"/>
        <w:jc w:val="both"/>
      </w:pPr>
      <w:r w:rsidRPr="00950C5F">
        <w:t>5.13</w:t>
      </w:r>
      <w:r w:rsidRPr="00950C5F">
        <w:tab/>
        <w:t>Sinteza podataka</w:t>
      </w:r>
    </w:p>
    <w:p w:rsidR="00B63C2D" w:rsidRPr="00B63C2D" w:rsidRDefault="00B63C2D" w:rsidP="00B63C2D">
      <w:pPr>
        <w:tabs>
          <w:tab w:val="left" w:pos="1116"/>
        </w:tabs>
        <w:spacing w:line="240" w:lineRule="auto"/>
        <w:ind w:left="360"/>
        <w:jc w:val="both"/>
        <w:rPr>
          <w:b/>
          <w:bCs/>
        </w:rPr>
      </w:pPr>
      <w:r w:rsidRPr="00B63C2D">
        <w:rPr>
          <w:b/>
          <w:bCs/>
        </w:rPr>
        <w:t>6</w:t>
      </w:r>
      <w:r w:rsidR="00206991">
        <w:rPr>
          <w:b/>
          <w:bCs/>
        </w:rPr>
        <w:t>.</w:t>
      </w:r>
      <w:r w:rsidRPr="00B63C2D">
        <w:rPr>
          <w:b/>
          <w:bCs/>
        </w:rPr>
        <w:tab/>
        <w:t>Izrada scenarija "učini minimalno" za godine 2020., 2025. i 2030.</w:t>
      </w:r>
    </w:p>
    <w:p w:rsidR="00B63C2D" w:rsidRPr="00950C5F" w:rsidRDefault="00B63C2D" w:rsidP="00B63C2D">
      <w:pPr>
        <w:tabs>
          <w:tab w:val="left" w:pos="1116"/>
        </w:tabs>
        <w:spacing w:line="240" w:lineRule="auto"/>
        <w:ind w:left="360"/>
        <w:jc w:val="both"/>
      </w:pPr>
      <w:r w:rsidRPr="00950C5F">
        <w:t>6.1</w:t>
      </w:r>
      <w:r w:rsidRPr="00950C5F">
        <w:tab/>
        <w:t>Standardno održavanje, intervencije i projekti u implementaciji</w:t>
      </w:r>
    </w:p>
    <w:p w:rsidR="00B63C2D" w:rsidRPr="00950C5F" w:rsidRDefault="00B63C2D" w:rsidP="00B63C2D">
      <w:pPr>
        <w:tabs>
          <w:tab w:val="left" w:pos="1116"/>
        </w:tabs>
        <w:spacing w:line="240" w:lineRule="auto"/>
        <w:ind w:left="360"/>
        <w:jc w:val="both"/>
      </w:pPr>
      <w:r w:rsidRPr="00950C5F">
        <w:t>6.2</w:t>
      </w:r>
      <w:r w:rsidRPr="00950C5F">
        <w:tab/>
        <w:t>Razvojni projekti predviđeni u SPR</w:t>
      </w:r>
    </w:p>
    <w:p w:rsidR="00B63C2D" w:rsidRPr="00950C5F" w:rsidRDefault="00B63C2D" w:rsidP="00B63C2D">
      <w:pPr>
        <w:tabs>
          <w:tab w:val="left" w:pos="1116"/>
        </w:tabs>
        <w:ind w:left="360"/>
        <w:jc w:val="both"/>
      </w:pPr>
      <w:r w:rsidRPr="00950C5F">
        <w:t>6.3</w:t>
      </w:r>
      <w:r w:rsidRPr="00950C5F">
        <w:tab/>
        <w:t xml:space="preserve">Scenarij buduće potražnje temeljen na projekciji rasta, </w:t>
      </w:r>
      <w:proofErr w:type="spellStart"/>
      <w:r w:rsidRPr="00950C5F">
        <w:t>socio</w:t>
      </w:r>
      <w:proofErr w:type="spellEnd"/>
      <w:r w:rsidRPr="00950C5F">
        <w:t>-</w:t>
      </w:r>
      <w:proofErr w:type="spellStart"/>
      <w:r w:rsidRPr="00950C5F">
        <w:t>ekonimskim</w:t>
      </w:r>
      <w:proofErr w:type="spellEnd"/>
      <w:r w:rsidRPr="00950C5F">
        <w:t xml:space="preserve"> promjenama</w:t>
      </w:r>
    </w:p>
    <w:p w:rsidR="00B63C2D" w:rsidRPr="00950C5F" w:rsidRDefault="00B63C2D" w:rsidP="00B63C2D">
      <w:pPr>
        <w:tabs>
          <w:tab w:val="left" w:pos="1116"/>
        </w:tabs>
        <w:spacing w:line="240" w:lineRule="auto"/>
        <w:ind w:left="360"/>
        <w:jc w:val="both"/>
      </w:pPr>
      <w:r w:rsidRPr="00950C5F">
        <w:t>6.4</w:t>
      </w:r>
      <w:r w:rsidRPr="00950C5F">
        <w:tab/>
        <w:t>Model učinka razvoja potražnje za godine 2020., 2025. i 2030.</w:t>
      </w:r>
    </w:p>
    <w:p w:rsidR="00B63C2D" w:rsidRPr="00950C5F" w:rsidRDefault="00B63C2D" w:rsidP="00B63C2D">
      <w:pPr>
        <w:tabs>
          <w:tab w:val="left" w:pos="1116"/>
        </w:tabs>
        <w:spacing w:line="240" w:lineRule="auto"/>
        <w:ind w:left="360"/>
        <w:jc w:val="both"/>
      </w:pPr>
      <w:r w:rsidRPr="00950C5F">
        <w:t>6.5</w:t>
      </w:r>
      <w:r w:rsidRPr="00950C5F">
        <w:tab/>
        <w:t>Detaljna analiza scenarija "učini minimalno" za godine 2020., 2025. i 2030.</w:t>
      </w:r>
    </w:p>
    <w:p w:rsidR="00B63C2D" w:rsidRPr="00B63C2D" w:rsidRDefault="00B63C2D" w:rsidP="00B63C2D">
      <w:pPr>
        <w:tabs>
          <w:tab w:val="left" w:pos="1116"/>
        </w:tabs>
        <w:spacing w:line="240" w:lineRule="auto"/>
        <w:ind w:left="360"/>
        <w:jc w:val="both"/>
        <w:rPr>
          <w:b/>
          <w:bCs/>
        </w:rPr>
      </w:pPr>
      <w:r w:rsidRPr="00B63C2D">
        <w:rPr>
          <w:b/>
          <w:bCs/>
        </w:rPr>
        <w:t>7</w:t>
      </w:r>
      <w:r w:rsidR="00206991">
        <w:rPr>
          <w:b/>
          <w:bCs/>
        </w:rPr>
        <w:t>.</w:t>
      </w:r>
      <w:r w:rsidRPr="00B63C2D">
        <w:rPr>
          <w:b/>
          <w:bCs/>
        </w:rPr>
        <w:tab/>
        <w:t>Definicija specifičnih ciljeva</w:t>
      </w:r>
    </w:p>
    <w:p w:rsidR="00B63C2D" w:rsidRPr="00950C5F" w:rsidRDefault="00B63C2D" w:rsidP="00B63C2D">
      <w:pPr>
        <w:tabs>
          <w:tab w:val="left" w:pos="1116"/>
        </w:tabs>
        <w:spacing w:line="240" w:lineRule="auto"/>
        <w:ind w:left="360"/>
        <w:jc w:val="both"/>
      </w:pPr>
      <w:r w:rsidRPr="00950C5F">
        <w:t>7.1</w:t>
      </w:r>
      <w:r w:rsidRPr="00950C5F">
        <w:tab/>
        <w:t xml:space="preserve">Kvantificirana lista </w:t>
      </w:r>
      <w:proofErr w:type="spellStart"/>
      <w:r w:rsidRPr="00950C5F">
        <w:t>multimodalnih</w:t>
      </w:r>
      <w:proofErr w:type="spellEnd"/>
      <w:r w:rsidRPr="00950C5F">
        <w:t xml:space="preserve"> ciljeva</w:t>
      </w:r>
    </w:p>
    <w:p w:rsidR="00B63C2D" w:rsidRPr="00950C5F" w:rsidRDefault="00B63C2D" w:rsidP="00B63C2D">
      <w:pPr>
        <w:tabs>
          <w:tab w:val="left" w:pos="1116"/>
        </w:tabs>
        <w:spacing w:line="240" w:lineRule="auto"/>
        <w:ind w:left="360"/>
        <w:jc w:val="both"/>
      </w:pPr>
      <w:r w:rsidRPr="00950C5F">
        <w:t>7.2</w:t>
      </w:r>
      <w:r w:rsidRPr="00950C5F">
        <w:tab/>
        <w:t>Ključni pokazatelji uspješnosti (KPI) ciljeva</w:t>
      </w:r>
    </w:p>
    <w:p w:rsidR="00B63C2D" w:rsidRPr="00B63C2D" w:rsidRDefault="00B63C2D" w:rsidP="00B63C2D">
      <w:pPr>
        <w:tabs>
          <w:tab w:val="left" w:pos="1116"/>
        </w:tabs>
        <w:spacing w:line="240" w:lineRule="auto"/>
        <w:ind w:left="360"/>
        <w:jc w:val="both"/>
        <w:rPr>
          <w:b/>
          <w:bCs/>
        </w:rPr>
      </w:pPr>
      <w:r w:rsidRPr="00B63C2D">
        <w:rPr>
          <w:b/>
          <w:bCs/>
        </w:rPr>
        <w:t>8</w:t>
      </w:r>
      <w:r w:rsidR="00206991">
        <w:rPr>
          <w:b/>
          <w:bCs/>
        </w:rPr>
        <w:t>.</w:t>
      </w:r>
      <w:r w:rsidRPr="00B63C2D">
        <w:rPr>
          <w:b/>
          <w:bCs/>
        </w:rPr>
        <w:tab/>
        <w:t xml:space="preserve">Razvoj </w:t>
      </w:r>
      <w:proofErr w:type="spellStart"/>
      <w:r w:rsidRPr="00B63C2D">
        <w:rPr>
          <w:b/>
          <w:bCs/>
        </w:rPr>
        <w:t>intermodalnih</w:t>
      </w:r>
      <w:proofErr w:type="spellEnd"/>
      <w:r w:rsidRPr="00B63C2D">
        <w:rPr>
          <w:b/>
          <w:bCs/>
        </w:rPr>
        <w:t xml:space="preserve"> mjera za postizanje definiranih ciljeva</w:t>
      </w:r>
    </w:p>
    <w:p w:rsidR="00B63C2D" w:rsidRPr="00950C5F" w:rsidRDefault="00B63C2D" w:rsidP="00B63C2D">
      <w:pPr>
        <w:tabs>
          <w:tab w:val="left" w:pos="1116"/>
        </w:tabs>
        <w:spacing w:line="240" w:lineRule="auto"/>
        <w:ind w:left="360"/>
        <w:jc w:val="both"/>
      </w:pPr>
      <w:r w:rsidRPr="00950C5F">
        <w:t>8.1</w:t>
      </w:r>
      <w:r w:rsidRPr="00950C5F">
        <w:tab/>
        <w:t>Organizacijska razina</w:t>
      </w:r>
    </w:p>
    <w:p w:rsidR="00B63C2D" w:rsidRPr="00950C5F" w:rsidRDefault="00B63C2D" w:rsidP="00B63C2D">
      <w:pPr>
        <w:tabs>
          <w:tab w:val="left" w:pos="1116"/>
        </w:tabs>
        <w:spacing w:line="240" w:lineRule="auto"/>
        <w:ind w:left="360"/>
        <w:jc w:val="both"/>
      </w:pPr>
      <w:r w:rsidRPr="00950C5F">
        <w:t>8.2</w:t>
      </w:r>
      <w:r w:rsidRPr="00950C5F">
        <w:tab/>
        <w:t>Operativna razina</w:t>
      </w:r>
    </w:p>
    <w:p w:rsidR="00B63C2D" w:rsidRPr="00B63C2D" w:rsidRDefault="00B63C2D" w:rsidP="00B63C2D">
      <w:pPr>
        <w:tabs>
          <w:tab w:val="left" w:pos="1116"/>
        </w:tabs>
        <w:spacing w:line="240" w:lineRule="auto"/>
        <w:ind w:left="360"/>
        <w:jc w:val="both"/>
      </w:pPr>
      <w:r w:rsidRPr="00950C5F">
        <w:t>8.3</w:t>
      </w:r>
      <w:r w:rsidRPr="00950C5F">
        <w:tab/>
        <w:t>Infrastruktura</w:t>
      </w:r>
    </w:p>
    <w:p w:rsidR="00B63C2D" w:rsidRPr="00B63C2D" w:rsidRDefault="00B63C2D" w:rsidP="00B63C2D">
      <w:pPr>
        <w:tabs>
          <w:tab w:val="left" w:pos="1116"/>
        </w:tabs>
        <w:spacing w:line="240" w:lineRule="auto"/>
        <w:ind w:left="360"/>
        <w:jc w:val="both"/>
        <w:rPr>
          <w:b/>
          <w:bCs/>
        </w:rPr>
      </w:pPr>
      <w:r w:rsidRPr="00B63C2D">
        <w:rPr>
          <w:b/>
          <w:bCs/>
        </w:rPr>
        <w:t>9</w:t>
      </w:r>
      <w:r w:rsidR="00206991">
        <w:rPr>
          <w:b/>
          <w:bCs/>
        </w:rPr>
        <w:t>.</w:t>
      </w:r>
      <w:r w:rsidRPr="00B63C2D">
        <w:rPr>
          <w:b/>
          <w:bCs/>
        </w:rPr>
        <w:tab/>
        <w:t>Analiza međuovisnosti mjera</w:t>
      </w:r>
    </w:p>
    <w:p w:rsidR="00B63C2D" w:rsidRPr="00950C5F" w:rsidRDefault="00B63C2D" w:rsidP="00B63C2D">
      <w:pPr>
        <w:tabs>
          <w:tab w:val="left" w:pos="1116"/>
        </w:tabs>
        <w:spacing w:line="240" w:lineRule="auto"/>
        <w:ind w:left="360"/>
        <w:jc w:val="both"/>
      </w:pPr>
      <w:r w:rsidRPr="00950C5F">
        <w:t>9.1</w:t>
      </w:r>
      <w:r w:rsidRPr="00950C5F">
        <w:tab/>
        <w:t>Skup potvrđenih, razumnih mjera</w:t>
      </w:r>
    </w:p>
    <w:p w:rsidR="00B63C2D" w:rsidRPr="00950C5F" w:rsidRDefault="00B63C2D" w:rsidP="00B63C2D">
      <w:pPr>
        <w:tabs>
          <w:tab w:val="left" w:pos="1116"/>
        </w:tabs>
        <w:spacing w:line="240" w:lineRule="auto"/>
        <w:ind w:left="360"/>
        <w:jc w:val="both"/>
      </w:pPr>
      <w:r w:rsidRPr="00950C5F">
        <w:t>9.2</w:t>
      </w:r>
      <w:r w:rsidRPr="00950C5F">
        <w:tab/>
        <w:t>Komplementarne i alternativne grupe mjera</w:t>
      </w:r>
    </w:p>
    <w:p w:rsidR="00B63C2D" w:rsidRPr="00950C5F" w:rsidRDefault="00B63C2D" w:rsidP="00B63C2D">
      <w:pPr>
        <w:tabs>
          <w:tab w:val="left" w:pos="1116"/>
        </w:tabs>
        <w:spacing w:line="240" w:lineRule="auto"/>
        <w:ind w:left="360"/>
        <w:jc w:val="both"/>
      </w:pPr>
      <w:r w:rsidRPr="00950C5F">
        <w:t>9.3</w:t>
      </w:r>
      <w:r w:rsidRPr="00950C5F">
        <w:tab/>
        <w:t>Kriteriji odabira mjera (tehnički, operativni, okolišni, financijski, ...)</w:t>
      </w:r>
    </w:p>
    <w:p w:rsidR="00B63C2D" w:rsidRPr="00B63C2D" w:rsidRDefault="00B63C2D" w:rsidP="00B63C2D">
      <w:pPr>
        <w:tabs>
          <w:tab w:val="left" w:pos="1116"/>
        </w:tabs>
        <w:spacing w:line="240" w:lineRule="auto"/>
        <w:ind w:left="360"/>
        <w:jc w:val="both"/>
      </w:pPr>
      <w:r w:rsidRPr="00950C5F">
        <w:t>9.4</w:t>
      </w:r>
      <w:r w:rsidRPr="00950C5F">
        <w:tab/>
        <w:t>Konačni rezultat: popis učinkovitih i djelotvornih mjera</w:t>
      </w:r>
    </w:p>
    <w:p w:rsidR="00B63C2D" w:rsidRPr="00B63C2D" w:rsidRDefault="00B63C2D" w:rsidP="00B63C2D">
      <w:pPr>
        <w:tabs>
          <w:tab w:val="left" w:pos="1116"/>
        </w:tabs>
        <w:spacing w:line="240" w:lineRule="auto"/>
        <w:ind w:left="360"/>
        <w:jc w:val="both"/>
        <w:rPr>
          <w:b/>
          <w:bCs/>
        </w:rPr>
      </w:pPr>
      <w:r w:rsidRPr="00B63C2D">
        <w:rPr>
          <w:b/>
          <w:bCs/>
        </w:rPr>
        <w:t>10</w:t>
      </w:r>
      <w:r w:rsidR="00206991">
        <w:rPr>
          <w:b/>
          <w:bCs/>
        </w:rPr>
        <w:t>.</w:t>
      </w:r>
      <w:r w:rsidRPr="00B63C2D">
        <w:rPr>
          <w:b/>
          <w:bCs/>
        </w:rPr>
        <w:tab/>
        <w:t>Modeliranje "učini sve" scenarija</w:t>
      </w:r>
    </w:p>
    <w:p w:rsidR="00B63C2D" w:rsidRPr="00950C5F" w:rsidRDefault="00B63C2D" w:rsidP="00B63C2D">
      <w:pPr>
        <w:tabs>
          <w:tab w:val="left" w:pos="1116"/>
        </w:tabs>
        <w:spacing w:line="240" w:lineRule="auto"/>
        <w:ind w:left="360"/>
        <w:jc w:val="both"/>
      </w:pPr>
      <w:r w:rsidRPr="00950C5F">
        <w:t>10.1</w:t>
      </w:r>
      <w:r w:rsidRPr="00950C5F">
        <w:tab/>
        <w:t>Skup poželjnih mjera, scenariji "učini sve" uključiti u prometni model</w:t>
      </w:r>
    </w:p>
    <w:p w:rsidR="00B63C2D" w:rsidRPr="00B63C2D" w:rsidRDefault="00B63C2D" w:rsidP="00B63C2D">
      <w:pPr>
        <w:tabs>
          <w:tab w:val="left" w:pos="1116"/>
        </w:tabs>
        <w:ind w:left="360"/>
        <w:jc w:val="both"/>
      </w:pPr>
      <w:r w:rsidRPr="00950C5F">
        <w:t>10.2</w:t>
      </w:r>
      <w:r w:rsidRPr="00950C5F">
        <w:tab/>
        <w:t>Određivanje indikativne vrijednosti izbrane grupe ključnih pokazatelja uspješnosti (KPI)</w:t>
      </w:r>
    </w:p>
    <w:p w:rsidR="00B63C2D" w:rsidRPr="00B63C2D" w:rsidRDefault="00B63C2D" w:rsidP="00B63C2D">
      <w:pPr>
        <w:tabs>
          <w:tab w:val="left" w:pos="1116"/>
        </w:tabs>
        <w:spacing w:line="240" w:lineRule="auto"/>
        <w:ind w:left="360"/>
        <w:jc w:val="both"/>
        <w:rPr>
          <w:b/>
          <w:bCs/>
        </w:rPr>
      </w:pPr>
      <w:r w:rsidRPr="00B63C2D">
        <w:rPr>
          <w:b/>
          <w:bCs/>
        </w:rPr>
        <w:t>11</w:t>
      </w:r>
      <w:r w:rsidR="00206991">
        <w:rPr>
          <w:b/>
          <w:bCs/>
        </w:rPr>
        <w:t>.</w:t>
      </w:r>
      <w:r w:rsidRPr="00B63C2D">
        <w:rPr>
          <w:b/>
          <w:bCs/>
        </w:rPr>
        <w:tab/>
        <w:t>Plan provedbe</w:t>
      </w:r>
    </w:p>
    <w:p w:rsidR="00B63C2D" w:rsidRPr="00950C5F" w:rsidRDefault="00B63C2D" w:rsidP="00B63C2D">
      <w:pPr>
        <w:tabs>
          <w:tab w:val="left" w:pos="1116"/>
        </w:tabs>
        <w:spacing w:line="240" w:lineRule="auto"/>
        <w:ind w:left="360"/>
        <w:jc w:val="both"/>
      </w:pPr>
      <w:r w:rsidRPr="00950C5F">
        <w:t>11.1</w:t>
      </w:r>
      <w:r w:rsidRPr="00950C5F">
        <w:tab/>
        <w:t>Detaljni plan daljnjeg razvoja mjera</w:t>
      </w:r>
    </w:p>
    <w:p w:rsidR="00B63C2D" w:rsidRPr="00950C5F" w:rsidRDefault="00B63C2D" w:rsidP="00B63C2D">
      <w:pPr>
        <w:tabs>
          <w:tab w:val="left" w:pos="1116"/>
        </w:tabs>
        <w:spacing w:line="240" w:lineRule="auto"/>
        <w:ind w:left="360"/>
        <w:jc w:val="both"/>
      </w:pPr>
      <w:r w:rsidRPr="00950C5F">
        <w:t>11.2</w:t>
      </w:r>
      <w:r w:rsidRPr="00950C5F">
        <w:tab/>
        <w:t>Scenarij provedbe strategije koji uzima u obzir sve mjere</w:t>
      </w:r>
    </w:p>
    <w:p w:rsidR="00B63C2D" w:rsidRPr="00950C5F" w:rsidRDefault="00B63C2D" w:rsidP="00B63C2D">
      <w:pPr>
        <w:tabs>
          <w:tab w:val="left" w:pos="1116"/>
        </w:tabs>
        <w:spacing w:line="240" w:lineRule="auto"/>
        <w:ind w:left="360"/>
        <w:jc w:val="both"/>
      </w:pPr>
      <w:r w:rsidRPr="00950C5F">
        <w:t>11.3</w:t>
      </w:r>
      <w:r w:rsidRPr="00950C5F">
        <w:tab/>
        <w:t>Naznaka planiranog vremenskog tijeka za nadogradnju Plana</w:t>
      </w:r>
    </w:p>
    <w:p w:rsidR="00B63C2D" w:rsidRPr="00950C5F" w:rsidRDefault="00B63C2D" w:rsidP="00B63C2D">
      <w:pPr>
        <w:tabs>
          <w:tab w:val="left" w:pos="1116"/>
        </w:tabs>
        <w:spacing w:line="240" w:lineRule="auto"/>
        <w:ind w:left="360"/>
        <w:jc w:val="both"/>
      </w:pPr>
      <w:r w:rsidRPr="00950C5F">
        <w:t>11.4</w:t>
      </w:r>
      <w:r w:rsidRPr="00950C5F">
        <w:tab/>
        <w:t>Završni skup strateških KPI-a</w:t>
      </w:r>
    </w:p>
    <w:p w:rsidR="00B63C2D" w:rsidRPr="00950C5F" w:rsidRDefault="00B63C2D" w:rsidP="00B63C2D">
      <w:pPr>
        <w:tabs>
          <w:tab w:val="left" w:pos="1116"/>
        </w:tabs>
        <w:spacing w:line="240" w:lineRule="auto"/>
        <w:ind w:left="360"/>
        <w:jc w:val="both"/>
      </w:pPr>
      <w:r w:rsidRPr="00950C5F">
        <w:t>11.5</w:t>
      </w:r>
      <w:r w:rsidRPr="00950C5F">
        <w:tab/>
        <w:t>Program praćenja provedbe Plana</w:t>
      </w:r>
    </w:p>
    <w:p w:rsidR="00B63C2D" w:rsidRPr="00950C5F" w:rsidRDefault="00B63C2D" w:rsidP="00B63C2D">
      <w:pPr>
        <w:tabs>
          <w:tab w:val="left" w:pos="1116"/>
        </w:tabs>
        <w:spacing w:line="240" w:lineRule="auto"/>
        <w:ind w:left="360"/>
        <w:jc w:val="both"/>
      </w:pPr>
      <w:r w:rsidRPr="00950C5F">
        <w:t>11.6</w:t>
      </w:r>
      <w:r w:rsidRPr="00950C5F">
        <w:tab/>
        <w:t>Analiza glavnih provedbenih rizika</w:t>
      </w:r>
    </w:p>
    <w:p w:rsidR="00B63C2D" w:rsidRPr="00950C5F" w:rsidRDefault="00B63C2D" w:rsidP="00B63C2D">
      <w:pPr>
        <w:tabs>
          <w:tab w:val="left" w:pos="1116"/>
        </w:tabs>
        <w:spacing w:line="240" w:lineRule="auto"/>
        <w:ind w:left="360"/>
        <w:jc w:val="both"/>
      </w:pPr>
      <w:r w:rsidRPr="00950C5F">
        <w:t>11.7</w:t>
      </w:r>
      <w:r w:rsidRPr="00950C5F">
        <w:tab/>
        <w:t>Trenutni kapaciteti sustava za pripremu i provedbu projekta</w:t>
      </w:r>
    </w:p>
    <w:p w:rsidR="00B63C2D" w:rsidRPr="00950C5F" w:rsidRDefault="00B63C2D" w:rsidP="00B63C2D">
      <w:pPr>
        <w:tabs>
          <w:tab w:val="left" w:pos="1116"/>
        </w:tabs>
        <w:spacing w:line="240" w:lineRule="auto"/>
        <w:ind w:left="360"/>
        <w:jc w:val="both"/>
      </w:pPr>
      <w:r w:rsidRPr="00950C5F">
        <w:t>11.8</w:t>
      </w:r>
      <w:r w:rsidRPr="00950C5F">
        <w:tab/>
        <w:t>Izbor poželjnih mjera za provedbu Plana</w:t>
      </w:r>
    </w:p>
    <w:p w:rsidR="00B63C2D" w:rsidRPr="00950C5F" w:rsidRDefault="00B63C2D" w:rsidP="00B63C2D">
      <w:pPr>
        <w:tabs>
          <w:tab w:val="left" w:pos="1116"/>
        </w:tabs>
        <w:spacing w:line="240" w:lineRule="auto"/>
        <w:ind w:left="360"/>
        <w:jc w:val="both"/>
      </w:pPr>
      <w:r w:rsidRPr="00950C5F">
        <w:t>11.9</w:t>
      </w:r>
      <w:r w:rsidRPr="00950C5F">
        <w:tab/>
        <w:t>Procjena stupnja ostvarenja KPI-a za odabrani scenarij</w:t>
      </w:r>
    </w:p>
    <w:p w:rsidR="00B63C2D" w:rsidRPr="00B63C2D" w:rsidRDefault="00B63C2D" w:rsidP="00B63C2D">
      <w:pPr>
        <w:tabs>
          <w:tab w:val="left" w:pos="1116"/>
        </w:tabs>
        <w:spacing w:line="240" w:lineRule="auto"/>
        <w:ind w:left="360"/>
        <w:jc w:val="both"/>
      </w:pPr>
      <w:r w:rsidRPr="00950C5F">
        <w:t> </w:t>
      </w:r>
      <w:r w:rsidRPr="00950C5F">
        <w:tab/>
        <w:t>Dodatna opcija: preispitivanje vrijednosti ciljeva</w:t>
      </w:r>
    </w:p>
    <w:p w:rsidR="00B63C2D" w:rsidRPr="00B63C2D" w:rsidRDefault="00B63C2D" w:rsidP="00B63C2D">
      <w:pPr>
        <w:tabs>
          <w:tab w:val="left" w:pos="1116"/>
        </w:tabs>
        <w:spacing w:line="240" w:lineRule="auto"/>
        <w:ind w:left="360"/>
        <w:jc w:val="both"/>
        <w:rPr>
          <w:b/>
          <w:bCs/>
        </w:rPr>
      </w:pPr>
      <w:r w:rsidRPr="00B63C2D">
        <w:rPr>
          <w:b/>
          <w:bCs/>
        </w:rPr>
        <w:t>12</w:t>
      </w:r>
      <w:r w:rsidR="00206991">
        <w:rPr>
          <w:b/>
          <w:bCs/>
        </w:rPr>
        <w:t>.</w:t>
      </w:r>
      <w:r w:rsidRPr="00B63C2D">
        <w:rPr>
          <w:b/>
          <w:bCs/>
        </w:rPr>
        <w:tab/>
        <w:t>Izvještavanje i procedure odobrenja</w:t>
      </w:r>
    </w:p>
    <w:p w:rsidR="00B63C2D" w:rsidRPr="00950C5F" w:rsidRDefault="00B63C2D" w:rsidP="00B63C2D">
      <w:pPr>
        <w:tabs>
          <w:tab w:val="left" w:pos="1116"/>
        </w:tabs>
        <w:spacing w:line="240" w:lineRule="auto"/>
        <w:ind w:left="360"/>
        <w:jc w:val="both"/>
      </w:pPr>
      <w:r w:rsidRPr="00950C5F">
        <w:t> </w:t>
      </w:r>
      <w:r w:rsidRPr="00950C5F">
        <w:tab/>
        <w:t>Redovne konzultacije, najmanje jednom tjedno</w:t>
      </w:r>
    </w:p>
    <w:p w:rsidR="00B63C2D" w:rsidRPr="00950C5F" w:rsidRDefault="00B63C2D" w:rsidP="00B63C2D">
      <w:pPr>
        <w:tabs>
          <w:tab w:val="left" w:pos="1116"/>
        </w:tabs>
        <w:spacing w:line="240" w:lineRule="auto"/>
        <w:ind w:left="360"/>
        <w:jc w:val="both"/>
      </w:pPr>
      <w:r w:rsidRPr="00950C5F">
        <w:t> </w:t>
      </w:r>
      <w:r w:rsidRPr="00950C5F">
        <w:tab/>
        <w:t>Početni izvještaj</w:t>
      </w:r>
    </w:p>
    <w:p w:rsidR="00B63C2D" w:rsidRPr="00950C5F" w:rsidRDefault="00B63C2D" w:rsidP="00B63C2D">
      <w:pPr>
        <w:tabs>
          <w:tab w:val="left" w:pos="1116"/>
        </w:tabs>
        <w:spacing w:line="240" w:lineRule="auto"/>
        <w:ind w:left="360"/>
        <w:jc w:val="both"/>
      </w:pPr>
      <w:r w:rsidRPr="00950C5F">
        <w:t> </w:t>
      </w:r>
      <w:r w:rsidRPr="00950C5F">
        <w:tab/>
        <w:t>Izvještaj o analizi podataka i prometa koji uključuje "plan generiranja podataka"</w:t>
      </w:r>
    </w:p>
    <w:p w:rsidR="00B63C2D" w:rsidRPr="00950C5F" w:rsidRDefault="00B63C2D" w:rsidP="00B63C2D">
      <w:pPr>
        <w:tabs>
          <w:tab w:val="left" w:pos="1116"/>
        </w:tabs>
        <w:spacing w:line="240" w:lineRule="auto"/>
        <w:ind w:left="360"/>
        <w:jc w:val="both"/>
      </w:pPr>
      <w:r w:rsidRPr="00950C5F">
        <w:t> </w:t>
      </w:r>
      <w:r w:rsidRPr="00950C5F">
        <w:tab/>
        <w:t>Izvještaj prometnog modela</w:t>
      </w:r>
    </w:p>
    <w:p w:rsidR="00B63C2D" w:rsidRPr="00950C5F" w:rsidRDefault="00B63C2D" w:rsidP="00B63C2D">
      <w:pPr>
        <w:tabs>
          <w:tab w:val="left" w:pos="1116"/>
        </w:tabs>
        <w:spacing w:line="240" w:lineRule="auto"/>
        <w:ind w:left="360"/>
        <w:jc w:val="both"/>
      </w:pPr>
      <w:r w:rsidRPr="00950C5F">
        <w:t> </w:t>
      </w:r>
      <w:r w:rsidRPr="00950C5F">
        <w:tab/>
        <w:t>Izvještaj o analizi sadašnje i buduće situacije</w:t>
      </w:r>
    </w:p>
    <w:p w:rsidR="00B63C2D" w:rsidRPr="00950C5F" w:rsidRDefault="00B63C2D" w:rsidP="00B63C2D">
      <w:pPr>
        <w:tabs>
          <w:tab w:val="left" w:pos="1116"/>
        </w:tabs>
        <w:spacing w:line="240" w:lineRule="auto"/>
        <w:ind w:left="360"/>
        <w:jc w:val="both"/>
      </w:pPr>
      <w:r w:rsidRPr="00950C5F">
        <w:t> </w:t>
      </w:r>
      <w:r w:rsidRPr="00950C5F">
        <w:tab/>
        <w:t>Preliminarni nacrt Master plana</w:t>
      </w:r>
    </w:p>
    <w:p w:rsidR="00B63C2D" w:rsidRPr="00950C5F" w:rsidRDefault="00B63C2D" w:rsidP="00B63C2D">
      <w:pPr>
        <w:tabs>
          <w:tab w:val="left" w:pos="1116"/>
        </w:tabs>
        <w:spacing w:line="240" w:lineRule="auto"/>
        <w:ind w:left="360"/>
        <w:jc w:val="both"/>
      </w:pPr>
      <w:r w:rsidRPr="00950C5F">
        <w:t> </w:t>
      </w:r>
      <w:r w:rsidRPr="00950C5F">
        <w:tab/>
        <w:t>Izvještaj Plana implementacije</w:t>
      </w:r>
    </w:p>
    <w:p w:rsidR="00B63C2D" w:rsidRPr="00B63C2D" w:rsidRDefault="00B63C2D" w:rsidP="00B63C2D">
      <w:pPr>
        <w:tabs>
          <w:tab w:val="left" w:pos="1116"/>
        </w:tabs>
        <w:spacing w:line="240" w:lineRule="auto"/>
        <w:ind w:left="360"/>
        <w:jc w:val="both"/>
      </w:pPr>
      <w:r w:rsidRPr="00950C5F">
        <w:t> </w:t>
      </w:r>
      <w:r w:rsidRPr="00950C5F">
        <w:tab/>
        <w:t>Finalna verzija Master plana</w:t>
      </w:r>
    </w:p>
    <w:p w:rsidR="00B63C2D" w:rsidRPr="00B63C2D" w:rsidRDefault="00B63C2D" w:rsidP="00B63C2D">
      <w:pPr>
        <w:tabs>
          <w:tab w:val="left" w:pos="1116"/>
        </w:tabs>
        <w:spacing w:line="240" w:lineRule="auto"/>
        <w:ind w:left="360"/>
        <w:jc w:val="both"/>
        <w:rPr>
          <w:b/>
          <w:bCs/>
        </w:rPr>
      </w:pPr>
      <w:r w:rsidRPr="00B63C2D">
        <w:rPr>
          <w:b/>
          <w:bCs/>
        </w:rPr>
        <w:t>13</w:t>
      </w:r>
      <w:r w:rsidR="00206991">
        <w:rPr>
          <w:b/>
          <w:bCs/>
        </w:rPr>
        <w:t>.</w:t>
      </w:r>
      <w:r w:rsidRPr="00B63C2D">
        <w:rPr>
          <w:b/>
          <w:bCs/>
        </w:rPr>
        <w:tab/>
        <w:t>Javno predstavljanje dokumenta</w:t>
      </w:r>
    </w:p>
    <w:p w:rsidR="00B63C2D" w:rsidRDefault="00B63C2D" w:rsidP="00B63C2D">
      <w:pPr>
        <w:tabs>
          <w:tab w:val="left" w:pos="1116"/>
        </w:tabs>
        <w:spacing w:line="240" w:lineRule="auto"/>
        <w:ind w:left="360"/>
        <w:jc w:val="both"/>
      </w:pPr>
      <w:r w:rsidRPr="00950C5F">
        <w:t> </w:t>
      </w:r>
      <w:r w:rsidRPr="00950C5F">
        <w:tab/>
        <w:t>Priprema 2 javne prezentacije</w:t>
      </w:r>
    </w:p>
    <w:p w:rsidR="00B63C2D" w:rsidRDefault="00B63C2D" w:rsidP="00B63C2D">
      <w:pPr>
        <w:jc w:val="both"/>
      </w:pPr>
    </w:p>
    <w:p w:rsidR="00B727B6" w:rsidRDefault="00B727B6" w:rsidP="00B63C2D">
      <w:pPr>
        <w:jc w:val="both"/>
      </w:pPr>
    </w:p>
    <w:p w:rsidR="00E850C4" w:rsidRDefault="00E850C4">
      <w:r>
        <w:br w:type="page"/>
      </w:r>
    </w:p>
    <w:p w:rsidR="005F2777" w:rsidRDefault="00B727B6" w:rsidP="00B727B6">
      <w:pPr>
        <w:pStyle w:val="Odlomakpopisa"/>
        <w:numPr>
          <w:ilvl w:val="0"/>
          <w:numId w:val="6"/>
        </w:numPr>
        <w:jc w:val="both"/>
      </w:pPr>
      <w:r>
        <w:t>Dinamički plan aktivnosti</w:t>
      </w:r>
    </w:p>
    <w:tbl>
      <w:tblPr>
        <w:tblW w:w="10204" w:type="dxa"/>
        <w:tblLayout w:type="fixed"/>
        <w:tblCellMar>
          <w:left w:w="0" w:type="dxa"/>
          <w:right w:w="0" w:type="dxa"/>
        </w:tblCellMar>
        <w:tblLook w:val="0420" w:firstRow="1" w:lastRow="0" w:firstColumn="0" w:lastColumn="0" w:noHBand="0" w:noVBand="1"/>
      </w:tblPr>
      <w:tblGrid>
        <w:gridCol w:w="3107"/>
        <w:gridCol w:w="541"/>
        <w:gridCol w:w="595"/>
        <w:gridCol w:w="595"/>
        <w:gridCol w:w="595"/>
        <w:gridCol w:w="595"/>
        <w:gridCol w:w="595"/>
        <w:gridCol w:w="595"/>
        <w:gridCol w:w="595"/>
        <w:gridCol w:w="595"/>
        <w:gridCol w:w="595"/>
        <w:gridCol w:w="595"/>
        <w:gridCol w:w="10"/>
        <w:gridCol w:w="585"/>
        <w:gridCol w:w="11"/>
      </w:tblGrid>
      <w:tr w:rsidR="00B727B6" w:rsidRPr="00B727B6" w:rsidTr="00B727B6">
        <w:trPr>
          <w:trHeight w:val="370"/>
        </w:trPr>
        <w:tc>
          <w:tcPr>
            <w:tcW w:w="3107" w:type="dxa"/>
            <w:vMerge w:val="restart"/>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hideMark/>
          </w:tcPr>
          <w:p w:rsidR="00B727B6" w:rsidRPr="00B727B6" w:rsidRDefault="00B727B6" w:rsidP="00B727B6">
            <w:pPr>
              <w:jc w:val="both"/>
              <w:rPr>
                <w:lang w:val="sr-Cyrl-RS"/>
              </w:rPr>
            </w:pPr>
            <w:r w:rsidRPr="00B727B6">
              <w:rPr>
                <w:b/>
                <w:bCs/>
              </w:rPr>
              <w:t>Aktivnost</w:t>
            </w:r>
          </w:p>
        </w:tc>
        <w:tc>
          <w:tcPr>
            <w:tcW w:w="7097" w:type="dxa"/>
            <w:gridSpan w:val="14"/>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rPr>
                <w:b/>
                <w:bCs/>
                <w:lang w:val="en-GB"/>
              </w:rPr>
              <w:t>201</w:t>
            </w:r>
            <w:r w:rsidRPr="00B727B6">
              <w:rPr>
                <w:b/>
                <w:bCs/>
              </w:rPr>
              <w:t>6</w:t>
            </w:r>
          </w:p>
        </w:tc>
      </w:tr>
      <w:tr w:rsidR="00B727B6" w:rsidRPr="00B727B6" w:rsidTr="00B727B6">
        <w:trPr>
          <w:gridAfter w:val="1"/>
          <w:wAfter w:w="11" w:type="dxa"/>
          <w:trHeight w:val="497"/>
        </w:trPr>
        <w:tc>
          <w:tcPr>
            <w:tcW w:w="3107" w:type="dxa"/>
            <w:vMerge/>
            <w:tcBorders>
              <w:top w:val="single" w:sz="8" w:space="0" w:color="FFFFFF"/>
              <w:left w:val="single" w:sz="8" w:space="0" w:color="FFFFFF"/>
              <w:bottom w:val="single" w:sz="8" w:space="0" w:color="FFFFFF"/>
              <w:right w:val="single" w:sz="8" w:space="0" w:color="FFFFFF"/>
            </w:tcBorders>
            <w:vAlign w:val="center"/>
            <w:hideMark/>
          </w:tcPr>
          <w:p w:rsidR="00B727B6" w:rsidRPr="00B727B6" w:rsidRDefault="00B727B6" w:rsidP="00B727B6">
            <w:pPr>
              <w:jc w:val="both"/>
              <w:rPr>
                <w:lang w:val="sr-Cyrl-RS"/>
              </w:rPr>
            </w:pPr>
          </w:p>
        </w:tc>
        <w:tc>
          <w:tcPr>
            <w:tcW w:w="541"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1.</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2.</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3.</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4.</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5.</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6.</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7.</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8.</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9.</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10.</w:t>
            </w:r>
          </w:p>
        </w:tc>
        <w:tc>
          <w:tcPr>
            <w:tcW w:w="595" w:type="dxa"/>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11.</w:t>
            </w:r>
          </w:p>
        </w:tc>
        <w:tc>
          <w:tcPr>
            <w:tcW w:w="595" w:type="dxa"/>
            <w:gridSpan w:val="2"/>
            <w:tcBorders>
              <w:top w:val="single" w:sz="8" w:space="0" w:color="FFFFFF"/>
              <w:left w:val="single" w:sz="8" w:space="0" w:color="FFFFFF"/>
              <w:bottom w:val="single" w:sz="8" w:space="0" w:color="FFFFFF"/>
              <w:right w:val="single" w:sz="8" w:space="0" w:color="FFFFFF"/>
            </w:tcBorders>
            <w:shd w:val="clear" w:color="auto" w:fill="727CA3"/>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12.</w:t>
            </w:r>
          </w:p>
        </w:tc>
      </w:tr>
      <w:tr w:rsidR="00B727B6" w:rsidRPr="00B727B6" w:rsidTr="00B727B6">
        <w:trPr>
          <w:gridAfter w:val="1"/>
          <w:wAfter w:w="11" w:type="dxa"/>
          <w:trHeight w:val="370"/>
        </w:trPr>
        <w:tc>
          <w:tcPr>
            <w:tcW w:w="3107" w:type="dxa"/>
            <w:tcBorders>
              <w:top w:val="single" w:sz="8" w:space="0" w:color="FFFFFF"/>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rPr>
                <w:b/>
                <w:bCs/>
              </w:rPr>
              <w:t>Početna faza</w:t>
            </w:r>
          </w:p>
        </w:tc>
        <w:tc>
          <w:tcPr>
            <w:tcW w:w="541" w:type="dxa"/>
            <w:tcBorders>
              <w:top w:val="single" w:sz="8" w:space="0" w:color="FFFFFF"/>
              <w:left w:val="single" w:sz="8" w:space="0" w:color="C00000"/>
              <w:bottom w:val="single" w:sz="6" w:space="0" w:color="727CA3"/>
              <w:right w:val="nil"/>
            </w:tcBorders>
            <w:shd w:val="clear" w:color="auto" w:fill="00B0F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8" w:space="0" w:color="FFFFFF"/>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gridSpan w:val="2"/>
            <w:tcBorders>
              <w:top w:val="single" w:sz="8" w:space="0" w:color="FFFFFF"/>
              <w:left w:val="nil"/>
              <w:bottom w:val="single" w:sz="6" w:space="0" w:color="727CA3"/>
              <w:right w:val="single" w:sz="8" w:space="0" w:color="C00000"/>
            </w:tcBorders>
            <w:shd w:val="clear" w:color="auto" w:fill="B3FFD5"/>
            <w:tcMar>
              <w:top w:w="72" w:type="dxa"/>
              <w:left w:w="144" w:type="dxa"/>
              <w:bottom w:w="72" w:type="dxa"/>
              <w:right w:w="144" w:type="dxa"/>
            </w:tcMar>
            <w:hideMark/>
          </w:tcPr>
          <w:p w:rsidR="00B727B6" w:rsidRPr="00B727B6" w:rsidRDefault="00B727B6" w:rsidP="00B727B6">
            <w:pPr>
              <w:jc w:val="both"/>
              <w:rPr>
                <w:lang w:val="sr-Cyrl-RS"/>
              </w:rPr>
            </w:pPr>
          </w:p>
        </w:tc>
      </w:tr>
      <w:tr w:rsidR="00B727B6" w:rsidRPr="00B727B6" w:rsidTr="00B727B6">
        <w:trPr>
          <w:gridAfter w:val="1"/>
          <w:wAfter w:w="11" w:type="dxa"/>
          <w:trHeight w:val="370"/>
        </w:trPr>
        <w:tc>
          <w:tcPr>
            <w:tcW w:w="3107" w:type="dxa"/>
            <w:tcBorders>
              <w:top w:val="single" w:sz="6" w:space="0" w:color="727CA3"/>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rPr>
                <w:b/>
                <w:bCs/>
              </w:rPr>
              <w:t>Implementacijska faza</w:t>
            </w:r>
          </w:p>
        </w:tc>
        <w:tc>
          <w:tcPr>
            <w:tcW w:w="541" w:type="dxa"/>
            <w:tcBorders>
              <w:top w:val="single" w:sz="6" w:space="0" w:color="727CA3"/>
              <w:left w:val="single" w:sz="8" w:space="0" w:color="C00000"/>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gridSpan w:val="2"/>
            <w:tcBorders>
              <w:top w:val="single" w:sz="6" w:space="0" w:color="727CA3"/>
              <w:left w:val="nil"/>
              <w:bottom w:val="single" w:sz="6" w:space="0" w:color="727CA3"/>
              <w:right w:val="single" w:sz="8" w:space="0" w:color="C00000"/>
            </w:tcBorders>
            <w:shd w:val="clear" w:color="auto" w:fill="B3FFD5"/>
            <w:tcMar>
              <w:top w:w="72" w:type="dxa"/>
              <w:left w:w="144" w:type="dxa"/>
              <w:bottom w:w="72" w:type="dxa"/>
              <w:right w:w="144" w:type="dxa"/>
            </w:tcMar>
            <w:hideMark/>
          </w:tcPr>
          <w:p w:rsidR="00B727B6" w:rsidRPr="00B727B6" w:rsidRDefault="00B727B6" w:rsidP="00B727B6">
            <w:pPr>
              <w:jc w:val="both"/>
              <w:rPr>
                <w:lang w:val="sr-Cyrl-RS"/>
              </w:rPr>
            </w:pPr>
          </w:p>
        </w:tc>
      </w:tr>
      <w:tr w:rsidR="00B727B6" w:rsidRPr="00B727B6" w:rsidTr="00B727B6">
        <w:trPr>
          <w:gridAfter w:val="1"/>
          <w:wAfter w:w="11" w:type="dxa"/>
          <w:trHeight w:val="370"/>
        </w:trPr>
        <w:tc>
          <w:tcPr>
            <w:tcW w:w="3107" w:type="dxa"/>
            <w:tcBorders>
              <w:top w:val="single" w:sz="6" w:space="0" w:color="727CA3"/>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rPr>
                <w:lang w:val="en-GB"/>
              </w:rPr>
              <w:t xml:space="preserve">- </w:t>
            </w:r>
            <w:r w:rsidRPr="00B727B6">
              <w:t>Prikupljanje podataka i istraživanja</w:t>
            </w:r>
          </w:p>
        </w:tc>
        <w:tc>
          <w:tcPr>
            <w:tcW w:w="541" w:type="dxa"/>
            <w:tcBorders>
              <w:top w:val="single" w:sz="6" w:space="0" w:color="727CA3"/>
              <w:left w:val="single" w:sz="8" w:space="0" w:color="C00000"/>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70C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70C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70C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gridSpan w:val="2"/>
            <w:tcBorders>
              <w:top w:val="single" w:sz="6" w:space="0" w:color="727CA3"/>
              <w:left w:val="nil"/>
              <w:bottom w:val="single" w:sz="6" w:space="0" w:color="727CA3"/>
              <w:right w:val="single" w:sz="8" w:space="0" w:color="C00000"/>
            </w:tcBorders>
            <w:shd w:val="clear" w:color="auto" w:fill="B3FFD5"/>
            <w:tcMar>
              <w:top w:w="72" w:type="dxa"/>
              <w:left w:w="144" w:type="dxa"/>
              <w:bottom w:w="72" w:type="dxa"/>
              <w:right w:w="144" w:type="dxa"/>
            </w:tcMar>
            <w:hideMark/>
          </w:tcPr>
          <w:p w:rsidR="00B727B6" w:rsidRPr="00B727B6" w:rsidRDefault="00B727B6" w:rsidP="00B727B6">
            <w:pPr>
              <w:jc w:val="both"/>
              <w:rPr>
                <w:lang w:val="sr-Cyrl-RS"/>
              </w:rPr>
            </w:pPr>
          </w:p>
        </w:tc>
      </w:tr>
      <w:tr w:rsidR="00B727B6" w:rsidRPr="00B727B6" w:rsidTr="00B727B6">
        <w:trPr>
          <w:gridAfter w:val="1"/>
          <w:wAfter w:w="11" w:type="dxa"/>
          <w:trHeight w:val="370"/>
        </w:trPr>
        <w:tc>
          <w:tcPr>
            <w:tcW w:w="3107" w:type="dxa"/>
            <w:tcBorders>
              <w:top w:val="single" w:sz="6" w:space="0" w:color="727CA3"/>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rPr>
                <w:lang w:val="en-GB"/>
              </w:rPr>
              <w:t xml:space="preserve">- </w:t>
            </w:r>
            <w:r w:rsidRPr="00B727B6">
              <w:t>Razvoj prometnog modela</w:t>
            </w:r>
          </w:p>
        </w:tc>
        <w:tc>
          <w:tcPr>
            <w:tcW w:w="541" w:type="dxa"/>
            <w:tcBorders>
              <w:top w:val="single" w:sz="6" w:space="0" w:color="727CA3"/>
              <w:left w:val="single" w:sz="8" w:space="0" w:color="C00000"/>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gridSpan w:val="2"/>
            <w:tcBorders>
              <w:top w:val="single" w:sz="6" w:space="0" w:color="727CA3"/>
              <w:left w:val="nil"/>
              <w:bottom w:val="single" w:sz="6" w:space="0" w:color="727CA3"/>
              <w:right w:val="single" w:sz="8" w:space="0" w:color="C00000"/>
            </w:tcBorders>
            <w:shd w:val="clear" w:color="auto" w:fill="B3FFD5"/>
            <w:tcMar>
              <w:top w:w="72" w:type="dxa"/>
              <w:left w:w="144" w:type="dxa"/>
              <w:bottom w:w="72" w:type="dxa"/>
              <w:right w:w="144" w:type="dxa"/>
            </w:tcMar>
            <w:hideMark/>
          </w:tcPr>
          <w:p w:rsidR="00B727B6" w:rsidRPr="00B727B6" w:rsidRDefault="00B727B6" w:rsidP="00B727B6">
            <w:pPr>
              <w:jc w:val="both"/>
              <w:rPr>
                <w:lang w:val="sr-Cyrl-RS"/>
              </w:rPr>
            </w:pPr>
          </w:p>
        </w:tc>
      </w:tr>
      <w:tr w:rsidR="00B727B6" w:rsidRPr="00B727B6" w:rsidTr="00B727B6">
        <w:trPr>
          <w:gridAfter w:val="1"/>
          <w:wAfter w:w="11" w:type="dxa"/>
          <w:trHeight w:val="370"/>
        </w:trPr>
        <w:tc>
          <w:tcPr>
            <w:tcW w:w="3107" w:type="dxa"/>
            <w:tcBorders>
              <w:top w:val="single" w:sz="6" w:space="0" w:color="727CA3"/>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t>- Plan provedbe</w:t>
            </w:r>
          </w:p>
        </w:tc>
        <w:tc>
          <w:tcPr>
            <w:tcW w:w="541" w:type="dxa"/>
            <w:tcBorders>
              <w:top w:val="single" w:sz="6" w:space="0" w:color="727CA3"/>
              <w:left w:val="single" w:sz="8" w:space="0" w:color="C00000"/>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002060"/>
            <w:tcMar>
              <w:top w:w="72" w:type="dxa"/>
              <w:left w:w="144" w:type="dxa"/>
              <w:bottom w:w="72" w:type="dxa"/>
              <w:right w:w="144" w:type="dxa"/>
            </w:tcMar>
            <w:hideMark/>
          </w:tcPr>
          <w:p w:rsidR="00B727B6" w:rsidRPr="00B727B6" w:rsidRDefault="00B727B6" w:rsidP="00B727B6">
            <w:pPr>
              <w:jc w:val="both"/>
              <w:rPr>
                <w:lang w:val="sr-Cyrl-RS"/>
              </w:rPr>
            </w:pPr>
          </w:p>
        </w:tc>
        <w:tc>
          <w:tcPr>
            <w:tcW w:w="595" w:type="dxa"/>
            <w:gridSpan w:val="2"/>
            <w:tcBorders>
              <w:top w:val="single" w:sz="6" w:space="0" w:color="727CA3"/>
              <w:left w:val="nil"/>
              <w:bottom w:val="single" w:sz="6" w:space="0" w:color="727CA3"/>
              <w:right w:val="single" w:sz="8" w:space="0" w:color="C00000"/>
            </w:tcBorders>
            <w:shd w:val="clear" w:color="auto" w:fill="B3FFD5"/>
            <w:tcMar>
              <w:top w:w="72" w:type="dxa"/>
              <w:left w:w="144" w:type="dxa"/>
              <w:bottom w:w="72" w:type="dxa"/>
              <w:right w:w="144" w:type="dxa"/>
            </w:tcMar>
            <w:hideMark/>
          </w:tcPr>
          <w:p w:rsidR="00B727B6" w:rsidRPr="00B727B6" w:rsidRDefault="00B727B6" w:rsidP="00B727B6">
            <w:pPr>
              <w:jc w:val="both"/>
              <w:rPr>
                <w:lang w:val="sr-Cyrl-RS"/>
              </w:rPr>
            </w:pPr>
          </w:p>
        </w:tc>
      </w:tr>
      <w:tr w:rsidR="00B727B6" w:rsidRPr="00B727B6" w:rsidTr="00B727B6">
        <w:trPr>
          <w:gridAfter w:val="1"/>
          <w:wAfter w:w="11" w:type="dxa"/>
          <w:trHeight w:val="370"/>
        </w:trPr>
        <w:tc>
          <w:tcPr>
            <w:tcW w:w="3107" w:type="dxa"/>
            <w:tcBorders>
              <w:top w:val="single" w:sz="6" w:space="0" w:color="727CA3"/>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t>Prezentacije</w:t>
            </w:r>
          </w:p>
        </w:tc>
        <w:tc>
          <w:tcPr>
            <w:tcW w:w="541" w:type="dxa"/>
            <w:tcBorders>
              <w:top w:val="single" w:sz="6" w:space="0" w:color="727CA3"/>
              <w:left w:val="single" w:sz="8" w:space="0" w:color="C00000"/>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pPr>
            <w:r>
              <w:t>X</w:t>
            </w: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p>
        </w:tc>
        <w:tc>
          <w:tcPr>
            <w:tcW w:w="595" w:type="dxa"/>
            <w:tcBorders>
              <w:top w:val="single" w:sz="6" w:space="0" w:color="727CA3"/>
              <w:left w:val="nil"/>
              <w:bottom w:val="single" w:sz="6" w:space="0" w:color="727CA3"/>
              <w:right w:val="nil"/>
            </w:tcBorders>
            <w:shd w:val="clear" w:color="auto" w:fill="auto"/>
            <w:tcMar>
              <w:top w:w="72" w:type="dxa"/>
              <w:left w:w="144" w:type="dxa"/>
              <w:bottom w:w="72" w:type="dxa"/>
              <w:right w:w="144" w:type="dxa"/>
            </w:tcMar>
            <w:hideMark/>
          </w:tcPr>
          <w:p w:rsidR="00B727B6" w:rsidRPr="00B727B6" w:rsidRDefault="00B727B6" w:rsidP="00B727B6">
            <w:pPr>
              <w:jc w:val="both"/>
            </w:pPr>
            <w:r>
              <w:t>X</w:t>
            </w:r>
          </w:p>
        </w:tc>
        <w:tc>
          <w:tcPr>
            <w:tcW w:w="595" w:type="dxa"/>
            <w:gridSpan w:val="2"/>
            <w:tcBorders>
              <w:top w:val="single" w:sz="6" w:space="0" w:color="727CA3"/>
              <w:left w:val="nil"/>
              <w:bottom w:val="single" w:sz="6" w:space="0" w:color="727CA3"/>
              <w:right w:val="single" w:sz="8" w:space="0" w:color="C00000"/>
            </w:tcBorders>
            <w:shd w:val="clear" w:color="auto" w:fill="B3FFD5"/>
            <w:tcMar>
              <w:top w:w="72" w:type="dxa"/>
              <w:left w:w="144" w:type="dxa"/>
              <w:bottom w:w="72" w:type="dxa"/>
              <w:right w:w="144" w:type="dxa"/>
            </w:tcMar>
            <w:hideMark/>
          </w:tcPr>
          <w:p w:rsidR="00B727B6" w:rsidRPr="00B727B6" w:rsidRDefault="00B727B6" w:rsidP="00B727B6">
            <w:pPr>
              <w:jc w:val="both"/>
              <w:rPr>
                <w:lang w:val="sr-Cyrl-RS"/>
              </w:rPr>
            </w:pPr>
          </w:p>
        </w:tc>
      </w:tr>
      <w:tr w:rsidR="00B727B6" w:rsidRPr="00B727B6" w:rsidTr="00B727B6">
        <w:trPr>
          <w:trHeight w:val="509"/>
        </w:trPr>
        <w:tc>
          <w:tcPr>
            <w:tcW w:w="3107" w:type="dxa"/>
            <w:tcBorders>
              <w:top w:val="single" w:sz="6" w:space="0" w:color="727CA3"/>
              <w:left w:val="single" w:sz="6" w:space="0" w:color="727CA3"/>
              <w:bottom w:val="single" w:sz="6" w:space="0" w:color="727CA3"/>
              <w:right w:val="single" w:sz="8" w:space="0" w:color="C00000"/>
            </w:tcBorders>
            <w:shd w:val="clear" w:color="auto" w:fill="auto"/>
            <w:tcMar>
              <w:top w:w="72" w:type="dxa"/>
              <w:left w:w="144" w:type="dxa"/>
              <w:bottom w:w="72" w:type="dxa"/>
              <w:right w:w="144" w:type="dxa"/>
            </w:tcMar>
            <w:hideMark/>
          </w:tcPr>
          <w:p w:rsidR="00B727B6" w:rsidRPr="00B727B6" w:rsidRDefault="00B727B6" w:rsidP="00B727B6">
            <w:pPr>
              <w:jc w:val="both"/>
              <w:rPr>
                <w:lang w:val="sr-Cyrl-RS"/>
              </w:rPr>
            </w:pPr>
            <w:r w:rsidRPr="00B727B6">
              <w:rPr>
                <w:b/>
                <w:bCs/>
              </w:rPr>
              <w:t>Trajanje projekta</w:t>
            </w:r>
          </w:p>
        </w:tc>
        <w:tc>
          <w:tcPr>
            <w:tcW w:w="6501" w:type="dxa"/>
            <w:gridSpan w:val="12"/>
            <w:tcBorders>
              <w:top w:val="single" w:sz="6" w:space="0" w:color="727CA3"/>
              <w:left w:val="single" w:sz="8" w:space="0" w:color="C00000"/>
              <w:bottom w:val="single" w:sz="6" w:space="0" w:color="727CA3"/>
              <w:right w:val="nil"/>
            </w:tcBorders>
            <w:shd w:val="clear" w:color="auto" w:fill="FFC000"/>
            <w:tcMar>
              <w:top w:w="72" w:type="dxa"/>
              <w:left w:w="144" w:type="dxa"/>
              <w:bottom w:w="72" w:type="dxa"/>
              <w:right w:w="144" w:type="dxa"/>
            </w:tcMar>
            <w:hideMark/>
          </w:tcPr>
          <w:p w:rsidR="00B727B6" w:rsidRPr="00B727B6" w:rsidRDefault="00B727B6" w:rsidP="00B727B6">
            <w:pPr>
              <w:jc w:val="both"/>
              <w:rPr>
                <w:lang w:val="sr-Cyrl-RS"/>
              </w:rPr>
            </w:pPr>
            <w:r w:rsidRPr="00B727B6">
              <w:t>Planirano regularno trajanje projekta</w:t>
            </w:r>
          </w:p>
        </w:tc>
        <w:tc>
          <w:tcPr>
            <w:tcW w:w="595" w:type="dxa"/>
            <w:gridSpan w:val="2"/>
            <w:tcBorders>
              <w:top w:val="single" w:sz="6" w:space="0" w:color="727CA3"/>
              <w:left w:val="nil"/>
              <w:bottom w:val="single" w:sz="6" w:space="0" w:color="727CA3"/>
              <w:right w:val="single" w:sz="6" w:space="0" w:color="727CA3"/>
            </w:tcBorders>
            <w:shd w:val="clear" w:color="auto" w:fill="00B050"/>
            <w:tcMar>
              <w:top w:w="72" w:type="dxa"/>
              <w:left w:w="144" w:type="dxa"/>
              <w:bottom w:w="72" w:type="dxa"/>
              <w:right w:w="144" w:type="dxa"/>
            </w:tcMar>
            <w:vAlign w:val="center"/>
            <w:hideMark/>
          </w:tcPr>
          <w:p w:rsidR="00B727B6" w:rsidRPr="00B727B6" w:rsidRDefault="00B727B6" w:rsidP="00B727B6">
            <w:pPr>
              <w:jc w:val="both"/>
              <w:rPr>
                <w:lang w:val="sr-Cyrl-RS"/>
              </w:rPr>
            </w:pPr>
            <w:r w:rsidRPr="00B727B6">
              <w:t>R</w:t>
            </w:r>
          </w:p>
        </w:tc>
      </w:tr>
    </w:tbl>
    <w:p w:rsidR="00B63C2D" w:rsidRDefault="00E850C4" w:rsidP="00B727B6">
      <w:pPr>
        <w:jc w:val="both"/>
      </w:pPr>
      <w:r>
        <w:t>Sl. 2</w:t>
      </w:r>
      <w:r w:rsidR="00126E8D">
        <w:t>. Hodogram aktivnosti izrade Plana održive urbane mobilnosti Grada Šibenika</w:t>
      </w:r>
    </w:p>
    <w:p w:rsidR="005F2777" w:rsidRPr="004E4EDF" w:rsidRDefault="005F2777" w:rsidP="00B727B6">
      <w:pPr>
        <w:pStyle w:val="Odlomakpopisa"/>
        <w:numPr>
          <w:ilvl w:val="0"/>
          <w:numId w:val="6"/>
        </w:numPr>
        <w:jc w:val="both"/>
      </w:pPr>
      <w:r w:rsidRPr="004E4EDF">
        <w:t>Odnos s SPUO</w:t>
      </w:r>
    </w:p>
    <w:p w:rsidR="00513E83" w:rsidRDefault="00513E83" w:rsidP="00B63C2D">
      <w:pPr>
        <w:pStyle w:val="Odlomakpopisa"/>
        <w:jc w:val="both"/>
      </w:pPr>
      <w:r w:rsidRPr="004E4EDF">
        <w:t xml:space="preserve">Preporuča se paralelna i interaktivna izrada plana i SPUO, kako bi se osigurala visoka kvaliteta ponuđenih rješenja i integrirano vrednovanje. </w:t>
      </w:r>
    </w:p>
    <w:p w:rsidR="00B727B6" w:rsidRPr="004E4EDF" w:rsidRDefault="00B727B6" w:rsidP="00B63C2D">
      <w:pPr>
        <w:pStyle w:val="Odlomakpopisa"/>
        <w:jc w:val="both"/>
      </w:pPr>
    </w:p>
    <w:p w:rsidR="00E850C4" w:rsidRDefault="00E850C4">
      <w:r>
        <w:br w:type="page"/>
      </w:r>
    </w:p>
    <w:p w:rsidR="005F2777" w:rsidRPr="004E4EDF" w:rsidRDefault="005F2777" w:rsidP="00B63C2D">
      <w:pPr>
        <w:pStyle w:val="Odlomakpopisa"/>
        <w:numPr>
          <w:ilvl w:val="0"/>
          <w:numId w:val="2"/>
        </w:numPr>
        <w:jc w:val="both"/>
        <w:rPr>
          <w:b/>
        </w:rPr>
      </w:pPr>
      <w:r w:rsidRPr="004E4EDF">
        <w:rPr>
          <w:b/>
        </w:rPr>
        <w:t>OPIS ZAHVATA</w:t>
      </w:r>
    </w:p>
    <w:p w:rsidR="004E4EDF" w:rsidRPr="004E4EDF" w:rsidRDefault="00513E83" w:rsidP="00B63C2D">
      <w:pPr>
        <w:jc w:val="both"/>
      </w:pPr>
      <w:r w:rsidRPr="004E4EDF">
        <w:t xml:space="preserve">Sukladno metodologiji na temelju ulaznih informacija koje uključuju i prostorno-plansku dokumentaciju izrađuje se SPUO. </w:t>
      </w:r>
      <w:r w:rsidRPr="000D266D">
        <w:t>Zahvati koji su planirani u prostorno-planskoj dokumentaciji evaluirati će</w:t>
      </w:r>
      <w:r w:rsidR="00235B17" w:rsidRPr="000D266D">
        <w:t xml:space="preserve"> se s obzirom na njihov utjecaj</w:t>
      </w:r>
      <w:r w:rsidRPr="000D266D">
        <w:t xml:space="preserve"> na okoliš i rezultat evaluacije istog s prometnim modelom čija je izrada planirana za </w:t>
      </w:r>
      <w:r w:rsidR="00235B17" w:rsidRPr="000D266D">
        <w:t>razdoblje do devetog mjeseca izrade plana.</w:t>
      </w:r>
      <w:r w:rsidR="00235B17">
        <w:rPr>
          <w:color w:val="FF0000"/>
        </w:rPr>
        <w:t xml:space="preserve"> </w:t>
      </w:r>
    </w:p>
    <w:p w:rsidR="004E4EDF" w:rsidRPr="004E4EDF" w:rsidRDefault="004E4EDF" w:rsidP="00B63C2D">
      <w:pPr>
        <w:jc w:val="both"/>
      </w:pPr>
      <w:r>
        <w:t>U Prostornom planu Šibensko-kninske županije, istaknuti su prometni zahvati kako slijedi:</w:t>
      </w:r>
    </w:p>
    <w:p w:rsidR="004E4EDF" w:rsidRPr="004E4EDF" w:rsidRDefault="004E4EDF" w:rsidP="00B63C2D">
      <w:pPr>
        <w:autoSpaceDE w:val="0"/>
        <w:autoSpaceDN w:val="0"/>
        <w:adjustRightInd w:val="0"/>
        <w:spacing w:after="0"/>
        <w:jc w:val="both"/>
        <w:rPr>
          <w:rFonts w:cs="TimesNewRomanPSMT"/>
        </w:rPr>
      </w:pPr>
      <w:r w:rsidRPr="004E4EDF">
        <w:rPr>
          <w:rFonts w:cs="TimesNewRomanPSMT"/>
        </w:rPr>
        <w:t xml:space="preserve">Članak 113. </w:t>
      </w:r>
    </w:p>
    <w:p w:rsidR="004E4EDF" w:rsidRPr="004E4EDF" w:rsidRDefault="004E4EDF" w:rsidP="00B63C2D">
      <w:pPr>
        <w:autoSpaceDE w:val="0"/>
        <w:autoSpaceDN w:val="0"/>
        <w:adjustRightInd w:val="0"/>
        <w:spacing w:after="0"/>
        <w:jc w:val="both"/>
        <w:rPr>
          <w:rFonts w:cs="TimesNewRomanPSMT"/>
          <w:u w:val="single"/>
          <w:lang w:val="sr-Cyrl-RS"/>
        </w:rPr>
      </w:pPr>
      <w:r w:rsidRPr="004E4EDF">
        <w:rPr>
          <w:rFonts w:cs="TimesNewRomanPSMT"/>
          <w:u w:val="single"/>
          <w:lang w:val="sr-Cyrl-RS"/>
        </w:rPr>
        <w:t>Cestovni promet</w:t>
      </w:r>
    </w:p>
    <w:p w:rsidR="004E4EDF" w:rsidRPr="004E4EDF" w:rsidRDefault="004E4EDF" w:rsidP="00B63C2D">
      <w:pPr>
        <w:autoSpaceDE w:val="0"/>
        <w:autoSpaceDN w:val="0"/>
        <w:adjustRightInd w:val="0"/>
        <w:spacing w:after="0"/>
        <w:jc w:val="both"/>
        <w:rPr>
          <w:rFonts w:cs="TimesNewRomanPSMT"/>
          <w:b/>
          <w:u w:val="single"/>
          <w:lang w:val="sr-Cyrl-RS"/>
        </w:rPr>
      </w:pPr>
      <w:r w:rsidRPr="004E4EDF">
        <w:rPr>
          <w:rFonts w:cs="TimesNewRomanPSMT"/>
          <w:b/>
          <w:u w:val="single"/>
          <w:lang w:val="sr-Cyrl-RS"/>
        </w:rPr>
        <w:t>Državne ceste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(1) Državne ceste čine osnovnu veznu strukturu</w:t>
      </w:r>
      <w:r w:rsidRPr="004E4EDF">
        <w:rPr>
          <w:rFonts w:cs="TimesNewRomanPSMT"/>
        </w:rPr>
        <w:t xml:space="preserve"> </w:t>
      </w:r>
      <w:r w:rsidRPr="004E4EDF">
        <w:rPr>
          <w:rFonts w:cs="TimesNewRomanPSMT"/>
          <w:lang w:val="sr-Cyrl-RS"/>
        </w:rPr>
        <w:t>Šibensko-kninske županije, koja je s jedne strane povezuje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s ostalim dijelovima države i šire, a s druge</w:t>
      </w:r>
      <w:r w:rsidRPr="004E4EDF">
        <w:rPr>
          <w:rFonts w:cs="TimesNewRomanPSMT"/>
        </w:rPr>
        <w:t xml:space="preserve"> </w:t>
      </w:r>
      <w:r w:rsidRPr="004E4EDF">
        <w:rPr>
          <w:rFonts w:cs="TimesNewRomanPSMT"/>
          <w:lang w:val="sr-Cyrl-RS"/>
        </w:rPr>
        <w:t>osigurava unutarnju povezanost svih vitalnih dijelova:</w:t>
      </w:r>
      <w:r w:rsidRPr="004E4EDF">
        <w:rPr>
          <w:rFonts w:cs="TimesNewRomanPSMT"/>
        </w:rPr>
        <w:t xml:space="preserve"> </w:t>
      </w:r>
      <w:r w:rsidRPr="004E4EDF">
        <w:rPr>
          <w:rFonts w:cs="TimesNewRomanPSMT"/>
          <w:lang w:val="sr-Cyrl-RS"/>
        </w:rPr>
        <w:t>gradova i općinskih i ostalih središta – žarišta razvoja.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Posebno se značenje pridaje izgradnji novih cesta visokog</w:t>
      </w:r>
      <w:r w:rsidRPr="004E4EDF">
        <w:rPr>
          <w:rFonts w:cs="TimesNewRomanPSMT"/>
        </w:rPr>
        <w:t xml:space="preserve"> </w:t>
      </w:r>
      <w:r w:rsidRPr="004E4EDF">
        <w:rPr>
          <w:rFonts w:cs="TimesNewRomanPSMT"/>
          <w:lang w:val="sr-Cyrl-RS"/>
        </w:rPr>
        <w:t>tehničkog standarda: Jadranske autoceste i brze</w:t>
      </w:r>
    </w:p>
    <w:p w:rsidR="004E4EDF" w:rsidRPr="004E4EDF" w:rsidRDefault="004E4EDF" w:rsidP="00B63C2D">
      <w:pPr>
        <w:autoSpaceDE w:val="0"/>
        <w:autoSpaceDN w:val="0"/>
        <w:adjustRightInd w:val="0"/>
        <w:spacing w:after="0"/>
        <w:jc w:val="both"/>
        <w:rPr>
          <w:rFonts w:cs="TimesNewRomanPSMT"/>
        </w:rPr>
      </w:pPr>
      <w:r w:rsidRPr="004E4EDF">
        <w:rPr>
          <w:rFonts w:cs="TimesNewRomanPSMT"/>
          <w:lang w:val="sr-Cyrl-RS"/>
        </w:rPr>
        <w:t>ceste Šibenik – Knin.</w:t>
      </w:r>
      <w:r w:rsidRPr="004E4EDF">
        <w:rPr>
          <w:rFonts w:cs="TimesNewRomanPSMT"/>
        </w:rPr>
        <w:t xml:space="preserve"> </w:t>
      </w:r>
    </w:p>
    <w:p w:rsidR="004E4EDF" w:rsidRPr="004E4EDF" w:rsidRDefault="004E4EDF" w:rsidP="00B63C2D">
      <w:pPr>
        <w:autoSpaceDE w:val="0"/>
        <w:autoSpaceDN w:val="0"/>
        <w:adjustRightInd w:val="0"/>
        <w:spacing w:after="0"/>
        <w:jc w:val="both"/>
        <w:rPr>
          <w:rFonts w:cs="TimesNewRomanPSMT"/>
        </w:rPr>
      </w:pPr>
      <w:r w:rsidRPr="004E4EDF">
        <w:rPr>
          <w:rFonts w:cs="TimesNewRomanPSMT"/>
          <w:b/>
        </w:rPr>
        <w:t>A</w:t>
      </w:r>
      <w:r w:rsidRPr="004E4EDF">
        <w:rPr>
          <w:rFonts w:cs="TimesNewRomanPSMT"/>
          <w:b/>
          <w:lang w:val="sr-Cyrl-RS"/>
        </w:rPr>
        <w:t>utocesta A1: Zagreb (Lučko)-Karlovac-Bosiljevo-Split-Ploče-Opuzen- granica BiH-granica BiH-Dubrovnik</w:t>
      </w:r>
      <w:r w:rsidRPr="004E4EDF">
        <w:rPr>
          <w:rFonts w:cs="TimesNewRomanPSMT"/>
          <w:b/>
        </w:rPr>
        <w:t xml:space="preserve"> </w:t>
      </w:r>
      <w:r w:rsidRPr="004E4EDF">
        <w:rPr>
          <w:rFonts w:cs="TimesNewRomanPSMT"/>
          <w:lang w:val="sr-Cyrl-RS"/>
        </w:rPr>
        <w:t>(2)</w:t>
      </w:r>
      <w:r w:rsidRPr="004E4EDF">
        <w:rPr>
          <w:rFonts w:cs="TimesNewRomanPSMT"/>
          <w:b/>
          <w:lang w:val="sr-Cyrl-RS"/>
        </w:rPr>
        <w:t xml:space="preserve"> </w:t>
      </w:r>
      <w:r w:rsidRPr="004E4EDF">
        <w:rPr>
          <w:rFonts w:cs="TimesNewRomanPSMT"/>
          <w:lang w:val="sr-Cyrl-RS"/>
        </w:rPr>
        <w:t>Na području Županije izgrađena je u punom</w:t>
      </w:r>
      <w:r w:rsidRPr="004E4EDF">
        <w:rPr>
          <w:rFonts w:cs="TimesNewRomanPSMT"/>
        </w:rPr>
        <w:t xml:space="preserve"> </w:t>
      </w:r>
      <w:r w:rsidRPr="004E4EDF">
        <w:rPr>
          <w:rFonts w:cs="TimesNewRomanPSMT"/>
          <w:lang w:val="sr-Cyrl-RS"/>
        </w:rPr>
        <w:t>profi lu dionica autoceste A1 s, u trenutku izgradnje,</w:t>
      </w:r>
      <w:r w:rsidRPr="004E4EDF">
        <w:rPr>
          <w:rFonts w:cs="TimesNewRomanPSMT"/>
        </w:rPr>
        <w:t xml:space="preserve"> </w:t>
      </w:r>
      <w:r w:rsidRPr="004E4EDF">
        <w:rPr>
          <w:rFonts w:cs="TimesNewRomanPSMT"/>
          <w:lang w:val="sr-Cyrl-RS"/>
        </w:rPr>
        <w:t>potrebnim križanjima. Obzirom na značaj i budući razvoj</w:t>
      </w:r>
      <w:r w:rsidRPr="004E4EDF">
        <w:rPr>
          <w:rFonts w:cs="TimesNewRomanPSMT"/>
        </w:rPr>
        <w:t xml:space="preserve"> </w:t>
      </w:r>
      <w:r w:rsidRPr="004E4EDF">
        <w:rPr>
          <w:rFonts w:cs="TimesNewRomanPSMT"/>
          <w:lang w:val="sr-Cyrl-RS"/>
        </w:rPr>
        <w:t>zone Podi planirano je novo čvorište, odnosno izgradnja</w:t>
      </w:r>
      <w:r w:rsidRPr="004E4EDF">
        <w:rPr>
          <w:rFonts w:cs="TimesNewRomanPSMT"/>
        </w:rPr>
        <w:t xml:space="preserve"> </w:t>
      </w:r>
      <w:r w:rsidRPr="004E4EDF">
        <w:rPr>
          <w:rFonts w:cs="TimesNewRomanPSMT"/>
          <w:lang w:val="sr-Cyrl-RS"/>
        </w:rPr>
        <w:t>priključka gospodarske zone Podi na A1.</w:t>
      </w:r>
      <w:r w:rsidRPr="004E4EDF">
        <w:rPr>
          <w:rFonts w:cs="TimesNewRomanPSMT"/>
        </w:rPr>
        <w:t xml:space="preserve"> </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(3) Planom su određena denivelirana raskrižja na</w:t>
      </w:r>
      <w:r w:rsidRPr="004E4EDF">
        <w:rPr>
          <w:rFonts w:cs="TimesNewRomanPSMT"/>
        </w:rPr>
        <w:t xml:space="preserve"> </w:t>
      </w:r>
      <w:r w:rsidRPr="004E4EDF">
        <w:rPr>
          <w:rFonts w:cs="TimesNewRomanPSMT"/>
          <w:lang w:val="sr-Cyrl-RS"/>
        </w:rPr>
        <w:t>svim križanjima i priključcima autocesta i brzih cesta,</w:t>
      </w:r>
      <w:r w:rsidRPr="004E4EDF">
        <w:rPr>
          <w:rFonts w:cs="TimesNewRomanPSMT"/>
        </w:rPr>
        <w:t xml:space="preserve"> </w:t>
      </w:r>
      <w:r w:rsidRPr="004E4EDF">
        <w:rPr>
          <w:rFonts w:cs="TimesNewRomanPSMT"/>
          <w:lang w:val="sr-Cyrl-RS"/>
        </w:rPr>
        <w:t>te značajnijim križanjima državnih cesta. Planovima</w:t>
      </w:r>
      <w:r w:rsidRPr="004E4EDF">
        <w:rPr>
          <w:rFonts w:cs="TimesNewRomanPSMT"/>
        </w:rPr>
        <w:t xml:space="preserve"> </w:t>
      </w:r>
      <w:r w:rsidRPr="004E4EDF">
        <w:rPr>
          <w:rFonts w:cs="TimesNewRomanPSMT"/>
          <w:lang w:val="sr-Cyrl-RS"/>
        </w:rPr>
        <w:t>užeg područja (PPUO/G) moguće je sukladno potrebama</w:t>
      </w:r>
      <w:r w:rsidRPr="004E4EDF">
        <w:rPr>
          <w:rFonts w:cs="TimesNewRomanPSMT"/>
        </w:rPr>
        <w:t xml:space="preserve"> </w:t>
      </w:r>
      <w:r w:rsidRPr="004E4EDF">
        <w:rPr>
          <w:rFonts w:cs="TimesNewRomanPSMT"/>
          <w:lang w:val="sr-Cyrl-RS"/>
        </w:rPr>
        <w:t>prometa, te u suglasnosti s nadležnim službama</w:t>
      </w:r>
      <w:r w:rsidRPr="004E4EDF">
        <w:rPr>
          <w:rFonts w:cs="TimesNewRomanPSMT"/>
        </w:rPr>
        <w:t xml:space="preserve"> </w:t>
      </w:r>
      <w:r w:rsidRPr="004E4EDF">
        <w:rPr>
          <w:rFonts w:cs="TimesNewRomanPSMT"/>
          <w:lang w:val="sr-Cyrl-RS"/>
        </w:rPr>
        <w:t>odrediti i druga denivelirana križanja kada je to nužno</w:t>
      </w:r>
      <w:r w:rsidRPr="004E4EDF">
        <w:rPr>
          <w:rFonts w:cs="TimesNewRomanPSMT"/>
        </w:rPr>
        <w:t xml:space="preserve"> </w:t>
      </w:r>
      <w:r w:rsidRPr="004E4EDF">
        <w:rPr>
          <w:rFonts w:cs="TimesNewRomanPSMT"/>
          <w:lang w:val="sr-Cyrl-RS"/>
        </w:rPr>
        <w:t>radi zahtjeva sigurnosti prometa. Za navedena planirana</w:t>
      </w:r>
      <w:r w:rsidRPr="004E4EDF">
        <w:rPr>
          <w:rFonts w:cs="TimesNewRomanPSMT"/>
        </w:rPr>
        <w:t xml:space="preserve"> </w:t>
      </w:r>
      <w:r w:rsidRPr="004E4EDF">
        <w:rPr>
          <w:rFonts w:cs="TimesNewRomanPSMT"/>
          <w:lang w:val="sr-Cyrl-RS"/>
        </w:rPr>
        <w:t>i nova križanja moguće je primijeniti i druga tehnička</w:t>
      </w:r>
      <w:r w:rsidRPr="004E4EDF">
        <w:rPr>
          <w:rFonts w:cs="TimesNewRomanPSMT"/>
        </w:rPr>
        <w:t xml:space="preserve"> </w:t>
      </w:r>
      <w:r w:rsidRPr="004E4EDF">
        <w:rPr>
          <w:rFonts w:cs="TimesNewRomanPSMT"/>
          <w:lang w:val="sr-Cyrl-RS"/>
        </w:rPr>
        <w:t>rješenja koja će biti određena detaljnijom prostorno</w:t>
      </w:r>
      <w:r w:rsidRPr="004E4EDF">
        <w:rPr>
          <w:rFonts w:cs="TimesNewRomanPSMT"/>
        </w:rPr>
        <w:t xml:space="preserve"> </w:t>
      </w:r>
      <w:r w:rsidRPr="004E4EDF">
        <w:rPr>
          <w:rFonts w:cs="TimesNewRomanPSMT"/>
          <w:lang w:val="sr-Cyrl-RS"/>
        </w:rPr>
        <w:t>planskom dokumentacijom ako su zadovoljeni zahtjevi</w:t>
      </w:r>
      <w:r w:rsidRPr="004E4EDF">
        <w:rPr>
          <w:rFonts w:cs="TimesNewRomanPSMT"/>
        </w:rPr>
        <w:t xml:space="preserve"> </w:t>
      </w:r>
      <w:r w:rsidRPr="004E4EDF">
        <w:rPr>
          <w:rFonts w:cs="TimesNewRomanPSMT"/>
          <w:lang w:val="sr-Cyrl-RS"/>
        </w:rPr>
        <w:t>u pogledu sigurnosti prometa.</w:t>
      </w:r>
    </w:p>
    <w:p w:rsidR="004E4EDF" w:rsidRPr="004E4EDF" w:rsidRDefault="004E4EDF" w:rsidP="00B63C2D">
      <w:pPr>
        <w:autoSpaceDE w:val="0"/>
        <w:autoSpaceDN w:val="0"/>
        <w:adjustRightInd w:val="0"/>
        <w:spacing w:after="0"/>
        <w:jc w:val="both"/>
        <w:rPr>
          <w:rFonts w:cs="TimesNewRomanPSMT"/>
        </w:rPr>
      </w:pPr>
      <w:r w:rsidRPr="004E4EDF">
        <w:rPr>
          <w:rFonts w:cs="TimesNewRomanPSMT"/>
          <w:b/>
          <w:lang w:val="sr-Cyrl-RS"/>
        </w:rPr>
        <w:t>Brza državna cesta Šibenik (luka Šibenik) – Drniš –</w:t>
      </w:r>
      <w:r w:rsidRPr="004E4EDF">
        <w:rPr>
          <w:rFonts w:cs="TimesNewRomanPSMT"/>
          <w:b/>
        </w:rPr>
        <w:t xml:space="preserve"> </w:t>
      </w:r>
      <w:r w:rsidRPr="004E4EDF">
        <w:rPr>
          <w:rFonts w:cs="TimesNewRomanPSMT"/>
          <w:b/>
          <w:lang w:val="sr-Cyrl-RS"/>
        </w:rPr>
        <w:t>Knin – granica BiH</w:t>
      </w:r>
      <w:r w:rsidRPr="004E4EDF">
        <w:rPr>
          <w:rFonts w:cs="TimesNewRomanPSMT"/>
        </w:rPr>
        <w:t xml:space="preserve"> </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(4) Trasa ceste je utvrđena i detaljno prikazana na</w:t>
      </w:r>
      <w:r w:rsidRPr="004E4EDF">
        <w:rPr>
          <w:rFonts w:cs="TimesNewRomanPSMT"/>
        </w:rPr>
        <w:t xml:space="preserve"> </w:t>
      </w:r>
      <w:r w:rsidRPr="004E4EDF">
        <w:rPr>
          <w:rFonts w:cs="TimesNewRomanPSMT"/>
          <w:lang w:val="sr-Cyrl-RS"/>
        </w:rPr>
        <w:t>kartografskom prikazu 2.1. Do sada je izgrađena samo</w:t>
      </w:r>
      <w:r w:rsidRPr="004E4EDF">
        <w:rPr>
          <w:rFonts w:cs="TimesNewRomanPSMT"/>
        </w:rPr>
        <w:t xml:space="preserve"> </w:t>
      </w:r>
      <w:r w:rsidRPr="004E4EDF">
        <w:rPr>
          <w:rFonts w:cs="TimesNewRomanPSMT"/>
          <w:lang w:val="sr-Cyrl-RS"/>
        </w:rPr>
        <w:t>prva faza prve dionice (Tromilja - čvor Vidici) u poluprofi</w:t>
      </w:r>
      <w:r w:rsidRPr="004E4EDF">
        <w:rPr>
          <w:rFonts w:cs="TimesNewRomanPSMT"/>
        </w:rPr>
        <w:t xml:space="preserve"> </w:t>
      </w:r>
      <w:r w:rsidRPr="004E4EDF">
        <w:rPr>
          <w:rFonts w:cs="TimesNewRomanPSMT"/>
          <w:lang w:val="sr-Cyrl-RS"/>
        </w:rPr>
        <w:t>lu planirane brze ceste, odnosno izgrađena je kao</w:t>
      </w:r>
      <w:r w:rsidRPr="004E4EDF">
        <w:rPr>
          <w:rFonts w:cs="TimesNewRomanPSMT"/>
        </w:rPr>
        <w:t xml:space="preserve"> </w:t>
      </w:r>
      <w:r w:rsidRPr="004E4EDF">
        <w:rPr>
          <w:rFonts w:cs="TimesNewRomanPSMT"/>
          <w:lang w:val="sr-Cyrl-RS"/>
        </w:rPr>
        <w:t>dvotračna cesta kategorizirana kao D 533. Planiran je</w:t>
      </w:r>
      <w:r w:rsidRPr="004E4EDF">
        <w:rPr>
          <w:rFonts w:cs="TimesNewRomanPSMT"/>
        </w:rPr>
        <w:t xml:space="preserve"> </w:t>
      </w:r>
      <w:r w:rsidRPr="004E4EDF">
        <w:rPr>
          <w:rFonts w:cs="TimesNewRomanPSMT"/>
          <w:lang w:val="sr-Cyrl-RS"/>
        </w:rPr>
        <w:t>njen dovršetak u punom profi lu - 4 prometna traka za</w:t>
      </w:r>
      <w:r w:rsidRPr="004E4EDF">
        <w:rPr>
          <w:rFonts w:cs="TimesNewRomanPSMT"/>
        </w:rPr>
        <w:t xml:space="preserve"> </w:t>
      </w:r>
      <w:r w:rsidRPr="004E4EDF">
        <w:rPr>
          <w:rFonts w:cs="TimesNewRomanPSMT"/>
          <w:lang w:val="sr-Cyrl-RS"/>
        </w:rPr>
        <w:t>promet vozila. Na spomenutoj izgrađenoj dionici na</w:t>
      </w:r>
      <w:r w:rsidRPr="004E4EDF">
        <w:rPr>
          <w:rFonts w:cs="TimesNewRomanPSMT"/>
        </w:rPr>
        <w:t xml:space="preserve"> </w:t>
      </w:r>
      <w:r w:rsidRPr="004E4EDF">
        <w:rPr>
          <w:rFonts w:cs="TimesNewRomanPSMT"/>
          <w:lang w:val="sr-Cyrl-RS"/>
        </w:rPr>
        <w:t>mjestu priključenja spojne ceste za čvor Šibenik na autocesti</w:t>
      </w:r>
      <w:r w:rsidRPr="004E4EDF">
        <w:rPr>
          <w:rFonts w:cs="TimesNewRomanPSMT"/>
        </w:rPr>
        <w:t xml:space="preserve"> </w:t>
      </w:r>
      <w:r w:rsidRPr="004E4EDF">
        <w:rPr>
          <w:rFonts w:cs="TimesNewRomanPSMT"/>
          <w:lang w:val="sr-Cyrl-RS"/>
        </w:rPr>
        <w:t>A1 planirana je izgradnja deniveliranog križanja</w:t>
      </w:r>
      <w:r w:rsidRPr="004E4EDF">
        <w:rPr>
          <w:rFonts w:cs="TimesNewRomanPSMT"/>
        </w:rPr>
        <w:t xml:space="preserve"> </w:t>
      </w:r>
      <w:r w:rsidRPr="004E4EDF">
        <w:rPr>
          <w:rFonts w:cs="TimesNewRomanPSMT"/>
          <w:lang w:val="sr-Cyrl-RS"/>
        </w:rPr>
        <w:t>(rekonstrukcija postojećeg raskrižja).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(5) Obzirom da je prvenstvena funkcija brze ceste</w:t>
      </w:r>
      <w:r w:rsidRPr="004E4EDF">
        <w:rPr>
          <w:rFonts w:cs="TimesNewRomanPSMT"/>
        </w:rPr>
        <w:t xml:space="preserve"> </w:t>
      </w:r>
      <w:r w:rsidRPr="004E4EDF">
        <w:rPr>
          <w:rFonts w:cs="TimesNewRomanPSMT"/>
          <w:lang w:val="sr-Cyrl-RS"/>
        </w:rPr>
        <w:t>povezivanje županijskog središta s gradovima Drnišem</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i Kninom, te dalje s BiH, prometnice kojima se navedeni</w:t>
      </w:r>
      <w:r w:rsidRPr="004E4EDF">
        <w:rPr>
          <w:rFonts w:cs="TimesNewRomanPSMT"/>
        </w:rPr>
        <w:t xml:space="preserve"> </w:t>
      </w:r>
      <w:r w:rsidRPr="004E4EDF">
        <w:rPr>
          <w:rFonts w:cs="TimesNewRomanPSMT"/>
          <w:lang w:val="sr-Cyrl-RS"/>
        </w:rPr>
        <w:t>gradovi priključuju na nju sastavni su njen dio i tvore</w:t>
      </w:r>
      <w:r w:rsidRPr="004E4EDF">
        <w:rPr>
          <w:rFonts w:cs="TimesNewRomanPSMT"/>
        </w:rPr>
        <w:t xml:space="preserve"> </w:t>
      </w:r>
      <w:r w:rsidRPr="004E4EDF">
        <w:rPr>
          <w:rFonts w:cs="TimesNewRomanPSMT"/>
          <w:lang w:val="sr-Cyrl-RS"/>
        </w:rPr>
        <w:t>jedinstvenu funkcionalnu cjelinu. Navedene prometnice</w:t>
      </w:r>
      <w:r w:rsidRPr="004E4EDF">
        <w:rPr>
          <w:rFonts w:cs="TimesNewRomanPSMT"/>
        </w:rPr>
        <w:t xml:space="preserve"> </w:t>
      </w:r>
      <w:r w:rsidRPr="004E4EDF">
        <w:rPr>
          <w:rFonts w:cs="TimesNewRomanPSMT"/>
          <w:lang w:val="sr-Cyrl-RS"/>
        </w:rPr>
        <w:t>Planom su određene kao planirane državne ceste, a njihove</w:t>
      </w:r>
      <w:r w:rsidRPr="004E4EDF">
        <w:rPr>
          <w:rFonts w:cs="TimesNewRomanPSMT"/>
        </w:rPr>
        <w:t xml:space="preserve"> </w:t>
      </w:r>
      <w:r w:rsidRPr="004E4EDF">
        <w:rPr>
          <w:rFonts w:cs="TimesNewRomanPSMT"/>
          <w:lang w:val="sr-Cyrl-RS"/>
        </w:rPr>
        <w:t>su trase u Planu načelno određene s tim da su manje</w:t>
      </w:r>
      <w:r w:rsidRPr="004E4EDF">
        <w:rPr>
          <w:rFonts w:cs="TimesNewRomanPSMT"/>
        </w:rPr>
        <w:t xml:space="preserve"> </w:t>
      </w:r>
      <w:r w:rsidRPr="004E4EDF">
        <w:rPr>
          <w:rFonts w:cs="TimesNewRomanPSMT"/>
          <w:lang w:val="sr-Cyrl-RS"/>
        </w:rPr>
        <w:t>korekcije trasa moguće ne mijenjajući koncepciju.</w:t>
      </w:r>
    </w:p>
    <w:p w:rsidR="004E4EDF" w:rsidRPr="004E4EDF" w:rsidRDefault="004E4EDF" w:rsidP="00B63C2D">
      <w:pPr>
        <w:autoSpaceDE w:val="0"/>
        <w:autoSpaceDN w:val="0"/>
        <w:adjustRightInd w:val="0"/>
        <w:spacing w:after="0"/>
        <w:jc w:val="both"/>
        <w:rPr>
          <w:rFonts w:cs="TimesNewRomanPSMT"/>
          <w:b/>
          <w:lang w:val="sr-Cyrl-RS"/>
        </w:rPr>
      </w:pPr>
      <w:r w:rsidRPr="004E4EDF">
        <w:rPr>
          <w:rFonts w:cs="TimesNewRomanPSMT"/>
          <w:b/>
          <w:lang w:val="sr-Cyrl-RS"/>
        </w:rPr>
        <w:t>Ostale postojeće državne ceste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(7) Na ostalim državnim cestama planirano 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izgradnja obilaznica na postojećim državnim</w:t>
      </w:r>
      <w:r w:rsidRPr="004E4EDF">
        <w:rPr>
          <w:rFonts w:cs="TimesNewRomanPSMT"/>
        </w:rPr>
        <w:t xml:space="preserve"> </w:t>
      </w:r>
      <w:r w:rsidRPr="004E4EDF">
        <w:rPr>
          <w:rFonts w:cs="TimesNewRomanPSMT"/>
          <w:lang w:val="sr-Cyrl-RS"/>
        </w:rPr>
        <w:t>cestama za naselja Brodarica i Vodice,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rekonstrukcija cesta na postojećim proširenjem</w:t>
      </w:r>
      <w:r w:rsidRPr="004E4EDF">
        <w:rPr>
          <w:rFonts w:cs="TimesNewRomanPSMT"/>
        </w:rPr>
        <w:t xml:space="preserve"> </w:t>
      </w:r>
      <w:r w:rsidRPr="004E4EDF">
        <w:rPr>
          <w:rFonts w:cs="TimesNewRomanPSMT"/>
          <w:lang w:val="sr-Cyrl-RS"/>
        </w:rPr>
        <w:t>na više voznih traka,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na svim državnim i županijskim cestama moguća</w:t>
      </w:r>
      <w:r w:rsidRPr="004E4EDF">
        <w:rPr>
          <w:rFonts w:cs="TimesNewRomanPSMT"/>
        </w:rPr>
        <w:t xml:space="preserve"> </w:t>
      </w:r>
      <w:r w:rsidRPr="004E4EDF">
        <w:rPr>
          <w:rFonts w:cs="TimesNewRomanPSMT"/>
          <w:lang w:val="sr-Cyrl-RS"/>
        </w:rPr>
        <w:t>je, radi poboljšanja prometnog standarda i povećanja</w:t>
      </w:r>
      <w:r w:rsidRPr="004E4EDF">
        <w:rPr>
          <w:rFonts w:cs="TimesNewRomanPSMT"/>
        </w:rPr>
        <w:t xml:space="preserve"> </w:t>
      </w:r>
      <w:r w:rsidRPr="004E4EDF">
        <w:rPr>
          <w:rFonts w:cs="TimesNewRomanPSMT"/>
          <w:lang w:val="sr-Cyrl-RS"/>
        </w:rPr>
        <w:t>sigurnosti prometa, izgradnja deniveliranih križanja,</w:t>
      </w:r>
      <w:r w:rsidRPr="004E4EDF">
        <w:rPr>
          <w:rFonts w:cs="TimesNewRomanPSMT"/>
        </w:rPr>
        <w:t xml:space="preserve"> </w:t>
      </w:r>
      <w:r w:rsidRPr="004E4EDF">
        <w:rPr>
          <w:rFonts w:cs="TimesNewRomanPSMT"/>
          <w:lang w:val="sr-Cyrl-RS"/>
        </w:rPr>
        <w:t>kružnih tokova i slično.</w:t>
      </w:r>
    </w:p>
    <w:p w:rsidR="004E4EDF" w:rsidRPr="004E4EDF" w:rsidRDefault="004E4EDF" w:rsidP="00B63C2D">
      <w:pPr>
        <w:autoSpaceDE w:val="0"/>
        <w:autoSpaceDN w:val="0"/>
        <w:adjustRightInd w:val="0"/>
        <w:spacing w:after="0"/>
        <w:jc w:val="both"/>
        <w:rPr>
          <w:rFonts w:cs="TimesNewRomanPSMT"/>
          <w:lang w:val="sr-Cyrl-RS"/>
        </w:rPr>
      </w:pP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Članak 114.</w:t>
      </w:r>
    </w:p>
    <w:p w:rsidR="004E4EDF" w:rsidRPr="004E4EDF" w:rsidRDefault="004E4EDF" w:rsidP="00B63C2D">
      <w:pPr>
        <w:autoSpaceDE w:val="0"/>
        <w:autoSpaceDN w:val="0"/>
        <w:adjustRightInd w:val="0"/>
        <w:spacing w:after="0"/>
        <w:jc w:val="both"/>
        <w:rPr>
          <w:rFonts w:cs="TimesNewRomanPSMT"/>
          <w:b/>
          <w:u w:val="single"/>
          <w:lang w:val="sr-Cyrl-RS"/>
        </w:rPr>
      </w:pPr>
      <w:r w:rsidRPr="004E4EDF">
        <w:rPr>
          <w:rFonts w:cs="TimesNewRomanPSMT"/>
          <w:b/>
          <w:u w:val="single"/>
          <w:lang w:val="sr-Cyrl-RS"/>
        </w:rPr>
        <w:t>Županijske ceste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(1) Planirana je županijska cesta Primošten, odnosno</w:t>
      </w:r>
      <w:r w:rsidRPr="004E4EDF">
        <w:rPr>
          <w:rFonts w:cs="TimesNewRomanPSMT"/>
        </w:rPr>
        <w:t xml:space="preserve"> </w:t>
      </w:r>
      <w:r w:rsidRPr="004E4EDF">
        <w:rPr>
          <w:rFonts w:cs="TimesNewRomanPSMT"/>
          <w:lang w:val="sr-Cyrl-RS"/>
        </w:rPr>
        <w:t>Rogoznica – Boraja – D58 kojom se osigurava bolje</w:t>
      </w:r>
      <w:r w:rsidRPr="004E4EDF">
        <w:rPr>
          <w:rFonts w:cs="TimesNewRomanPSMT"/>
        </w:rPr>
        <w:t xml:space="preserve">  p</w:t>
      </w:r>
      <w:r w:rsidRPr="004E4EDF">
        <w:rPr>
          <w:rFonts w:cs="TimesNewRomanPSMT"/>
          <w:lang w:val="sr-Cyrl-RS"/>
        </w:rPr>
        <w:t>ovezivanje rogozničko-primoštenskog područja na</w:t>
      </w:r>
      <w:r w:rsidRPr="004E4EDF">
        <w:rPr>
          <w:rFonts w:cs="TimesNewRomanPSMT"/>
        </w:rPr>
        <w:t xml:space="preserve"> </w:t>
      </w:r>
      <w:r w:rsidRPr="004E4EDF">
        <w:rPr>
          <w:rFonts w:cs="TimesNewRomanPSMT"/>
          <w:lang w:val="sr-Cyrl-RS"/>
        </w:rPr>
        <w:t>sustav državnih cesta, prvenstveno JAC. Trasa ceste</w:t>
      </w:r>
      <w:r w:rsidRPr="004E4EDF">
        <w:rPr>
          <w:rFonts w:cs="TimesNewRomanPSMT"/>
        </w:rPr>
        <w:t xml:space="preserve"> </w:t>
      </w:r>
      <w:r w:rsidRPr="004E4EDF">
        <w:rPr>
          <w:rFonts w:cs="TimesNewRomanPSMT"/>
          <w:lang w:val="sr-Cyrl-RS"/>
        </w:rPr>
        <w:t>položena je načelno, koristeći pritom manjim dijelom</w:t>
      </w:r>
      <w:r w:rsidRPr="004E4EDF">
        <w:rPr>
          <w:rFonts w:cs="TimesNewRomanPSMT"/>
        </w:rPr>
        <w:t xml:space="preserve"> </w:t>
      </w:r>
      <w:r w:rsidRPr="004E4EDF">
        <w:rPr>
          <w:rFonts w:cs="TimesNewRomanPSMT"/>
          <w:lang w:val="sr-Cyrl-RS"/>
        </w:rPr>
        <w:t>trase nekih postojećih cesta. Za pobliže defi niranje trase</w:t>
      </w:r>
      <w:r w:rsidRPr="004E4EDF">
        <w:rPr>
          <w:rFonts w:cs="TimesNewRomanPSMT"/>
        </w:rPr>
        <w:t xml:space="preserve"> </w:t>
      </w:r>
      <w:r w:rsidRPr="004E4EDF">
        <w:rPr>
          <w:rFonts w:cs="TimesNewRomanPSMT"/>
          <w:lang w:val="sr-Cyrl-RS"/>
        </w:rPr>
        <w:t>potrebna je izrada idejnog projektnog rješenja kako za</w:t>
      </w:r>
      <w:r w:rsidRPr="004E4EDF">
        <w:rPr>
          <w:rFonts w:cs="TimesNewRomanPSMT"/>
        </w:rPr>
        <w:t xml:space="preserve"> </w:t>
      </w:r>
      <w:r w:rsidRPr="004E4EDF">
        <w:rPr>
          <w:rFonts w:cs="TimesNewRomanPSMT"/>
          <w:lang w:val="sr-Cyrl-RS"/>
        </w:rPr>
        <w:t>rekonstrukcije postojećih dionica lokalnih cesta, koje</w:t>
      </w:r>
      <w:r w:rsidRPr="004E4EDF">
        <w:rPr>
          <w:rFonts w:cs="TimesNewRomanPSMT"/>
        </w:rPr>
        <w:t xml:space="preserve"> </w:t>
      </w:r>
      <w:r w:rsidRPr="004E4EDF">
        <w:rPr>
          <w:rFonts w:cs="TimesNewRomanPSMT"/>
          <w:lang w:val="sr-Cyrl-RS"/>
        </w:rPr>
        <w:t>se nalaze u njezinom koridoru, tako i za potpuno nove</w:t>
      </w:r>
      <w:r w:rsidRPr="004E4EDF">
        <w:rPr>
          <w:rFonts w:cs="TimesNewRomanPSMT"/>
        </w:rPr>
        <w:t xml:space="preserve"> </w:t>
      </w:r>
      <w:r w:rsidRPr="004E4EDF">
        <w:rPr>
          <w:rFonts w:cs="TimesNewRomanPSMT"/>
          <w:lang w:val="sr-Cyrl-RS"/>
        </w:rPr>
        <w:t>dionice.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(5) Planom se omogućuje planiranje obilaznica manjih</w:t>
      </w:r>
      <w:r w:rsidRPr="004E4EDF">
        <w:rPr>
          <w:rFonts w:cs="TimesNewRomanPSMT"/>
        </w:rPr>
        <w:t xml:space="preserve"> </w:t>
      </w:r>
      <w:r w:rsidRPr="004E4EDF">
        <w:rPr>
          <w:rFonts w:cs="TimesNewRomanPSMT"/>
          <w:lang w:val="sr-Cyrl-RS"/>
        </w:rPr>
        <w:t>naselja kod kojih, zbog uskih postojećih cestovnih</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koridora, nije moguće rekonstrukcijom kolnika postići</w:t>
      </w:r>
      <w:r w:rsidRPr="004E4EDF">
        <w:rPr>
          <w:rFonts w:cs="TimesNewRomanPSMT"/>
        </w:rPr>
        <w:t xml:space="preserve"> </w:t>
      </w:r>
      <w:r w:rsidRPr="004E4EDF">
        <w:rPr>
          <w:rFonts w:cs="TimesNewRomanPSMT"/>
          <w:lang w:val="sr-Cyrl-RS"/>
        </w:rPr>
        <w:t>elemente koji udovoljavaju sigurnosti prometa, a sve u</w:t>
      </w:r>
      <w:r w:rsidRPr="004E4EDF">
        <w:rPr>
          <w:rFonts w:cs="TimesNewRomanPSMT"/>
        </w:rPr>
        <w:t xml:space="preserve"> </w:t>
      </w:r>
      <w:r w:rsidRPr="004E4EDF">
        <w:rPr>
          <w:rFonts w:cs="TimesNewRomanPSMT"/>
          <w:lang w:val="sr-Cyrl-RS"/>
        </w:rPr>
        <w:t>skladu s PPUO/G.</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(6) Na ostalim dionicama postojećih državnih i</w:t>
      </w:r>
      <w:r w:rsidRPr="004E4EDF">
        <w:rPr>
          <w:rFonts w:cs="TimesNewRomanPSMT"/>
        </w:rPr>
        <w:t xml:space="preserve"> </w:t>
      </w:r>
      <w:r w:rsidRPr="004E4EDF">
        <w:rPr>
          <w:rFonts w:cs="TimesNewRomanPSMT"/>
          <w:lang w:val="sr-Cyrl-RS"/>
        </w:rPr>
        <w:t>županijskih cesta mogući su ispravci radi poboljšanja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tehničkih elemenata, pri čemu se to ne smatra promjenom</w:t>
      </w:r>
      <w:r w:rsidRPr="004E4EDF">
        <w:rPr>
          <w:rFonts w:cs="TimesNewRomanPSMT"/>
        </w:rPr>
        <w:t xml:space="preserve"> </w:t>
      </w:r>
      <w:r w:rsidRPr="004E4EDF">
        <w:rPr>
          <w:rFonts w:cs="TimesNewRomanPSMT"/>
          <w:lang w:val="sr-Cyrl-RS"/>
        </w:rPr>
        <w:t>trase.</w:t>
      </w:r>
    </w:p>
    <w:p w:rsidR="004E4EDF" w:rsidRPr="004E4EDF" w:rsidRDefault="004E4EDF" w:rsidP="00B63C2D">
      <w:pPr>
        <w:autoSpaceDE w:val="0"/>
        <w:autoSpaceDN w:val="0"/>
        <w:adjustRightInd w:val="0"/>
        <w:spacing w:after="0"/>
        <w:jc w:val="both"/>
        <w:rPr>
          <w:rFonts w:cs="TimesNewRomanPSMT"/>
          <w:lang w:val="sr-Cyrl-RS"/>
        </w:rPr>
      </w:pP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Članak 116.</w:t>
      </w:r>
    </w:p>
    <w:p w:rsidR="004E4EDF" w:rsidRPr="004E4EDF" w:rsidRDefault="004E4EDF" w:rsidP="00B63C2D">
      <w:pPr>
        <w:autoSpaceDE w:val="0"/>
        <w:autoSpaceDN w:val="0"/>
        <w:adjustRightInd w:val="0"/>
        <w:spacing w:after="0"/>
        <w:jc w:val="both"/>
        <w:rPr>
          <w:rFonts w:cs="TimesNewRomanPSMT"/>
          <w:u w:val="single"/>
          <w:lang w:val="sr-Cyrl-RS"/>
        </w:rPr>
      </w:pPr>
      <w:r w:rsidRPr="004E4EDF">
        <w:rPr>
          <w:rFonts w:cs="TimesNewRomanPSMT"/>
          <w:u w:val="single"/>
          <w:lang w:val="sr-Cyrl-RS"/>
        </w:rPr>
        <w:t>Željeznički promet</w:t>
      </w:r>
    </w:p>
    <w:p w:rsidR="004E4EDF" w:rsidRPr="004E4EDF" w:rsidRDefault="004E4EDF" w:rsidP="00B63C2D">
      <w:pPr>
        <w:autoSpaceDE w:val="0"/>
        <w:autoSpaceDN w:val="0"/>
        <w:adjustRightInd w:val="0"/>
        <w:spacing w:after="0"/>
        <w:jc w:val="both"/>
        <w:rPr>
          <w:rFonts w:cs="TimesNewRomanPSMT"/>
          <w:b/>
          <w:u w:val="single"/>
          <w:lang w:val="sr-Cyrl-RS"/>
        </w:rPr>
      </w:pPr>
      <w:r w:rsidRPr="004E4EDF">
        <w:rPr>
          <w:rFonts w:cs="TimesNewRomanPSMT"/>
          <w:b/>
          <w:u w:val="single"/>
          <w:lang w:val="sr-Cyrl-RS"/>
        </w:rPr>
        <w:t>Željezničke pruge velike propusne moći</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(1) Osim postojećih pruga (međunarodnih priključnih</w:t>
      </w:r>
      <w:r w:rsidRPr="004E4EDF">
        <w:rPr>
          <w:rFonts w:cs="TimesNewRomanPSMT"/>
        </w:rPr>
        <w:t xml:space="preserve"> </w:t>
      </w:r>
      <w:r w:rsidRPr="004E4EDF">
        <w:rPr>
          <w:rFonts w:cs="TimesNewRomanPSMT"/>
          <w:lang w:val="sr-Cyrl-RS"/>
        </w:rPr>
        <w:t>pruga i regionalna pruga) u Planu se planiraju i koridori</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brzih pruga velikog kapaciteta i brzine do 250 km/h na</w:t>
      </w:r>
      <w:r w:rsidRPr="004E4EDF">
        <w:rPr>
          <w:rFonts w:cs="TimesNewRomanPSMT"/>
        </w:rPr>
        <w:t xml:space="preserve"> </w:t>
      </w:r>
      <w:r w:rsidRPr="004E4EDF">
        <w:rPr>
          <w:rFonts w:cs="TimesNewRomanPSMT"/>
          <w:lang w:val="sr-Cyrl-RS"/>
        </w:rPr>
        <w:t>pravcu Gračac - Radučić - Oklaj - Pokrovnik - Perković</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Šibenik / Split i alternativni koridor obalne željezničke</w:t>
      </w:r>
      <w:r w:rsidRPr="004E4EDF">
        <w:rPr>
          <w:rFonts w:cs="TimesNewRomanPSMT"/>
        </w:rPr>
        <w:t xml:space="preserve"> </w:t>
      </w:r>
      <w:r w:rsidRPr="004E4EDF">
        <w:rPr>
          <w:rFonts w:cs="TimesNewRomanPSMT"/>
          <w:lang w:val="sr-Cyrl-RS"/>
        </w:rPr>
        <w:t>pruge Perković - Šibenik - Zadar.</w:t>
      </w:r>
    </w:p>
    <w:p w:rsidR="004E4EDF" w:rsidRPr="004E4EDF" w:rsidRDefault="004E4EDF" w:rsidP="00B63C2D">
      <w:pPr>
        <w:autoSpaceDE w:val="0"/>
        <w:autoSpaceDN w:val="0"/>
        <w:adjustRightInd w:val="0"/>
        <w:spacing w:after="0"/>
        <w:jc w:val="both"/>
        <w:rPr>
          <w:rFonts w:cs="TimesNewRomanPSMT"/>
          <w:b/>
          <w:lang w:val="sr-Cyrl-RS"/>
        </w:rPr>
      </w:pPr>
      <w:r w:rsidRPr="004E4EDF">
        <w:rPr>
          <w:rFonts w:cs="TimesNewRomanPSMT"/>
          <w:b/>
          <w:lang w:val="sr-Cyrl-RS"/>
        </w:rPr>
        <w:t>Planirana željeznička pruga Gračac - Radučić – Oklaj</w:t>
      </w:r>
      <w:r w:rsidRPr="004E4EDF">
        <w:rPr>
          <w:rFonts w:cs="TimesNewRomanPSMT"/>
          <w:b/>
        </w:rPr>
        <w:t xml:space="preserve"> </w:t>
      </w:r>
      <w:r w:rsidRPr="004E4EDF">
        <w:rPr>
          <w:rFonts w:cs="TimesNewRomanPSMT"/>
          <w:b/>
          <w:lang w:val="sr-Cyrl-RS"/>
        </w:rPr>
        <w:t>- Pokrovnik - Perković - Šibenik/Split</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(2) Brza željeznička pruga Gračac – Radučić – Oklaj</w:t>
      </w:r>
      <w:r w:rsidRPr="004E4EDF">
        <w:rPr>
          <w:rFonts w:cs="TimesNewRomanPSMT"/>
        </w:rPr>
        <w:t xml:space="preserve"> </w:t>
      </w:r>
      <w:r w:rsidRPr="004E4EDF">
        <w:rPr>
          <w:rFonts w:cs="TimesNewRomanPSMT"/>
          <w:lang w:val="sr-Cyrl-RS"/>
        </w:rPr>
        <w:t>– Šibenik – Split predstavlja dio planiranog zajedničkog</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željezničkog koridora koji objedinjuje transverzalnu</w:t>
      </w:r>
      <w:r w:rsidRPr="004E4EDF">
        <w:rPr>
          <w:rFonts w:cs="TimesNewRomanPSMT"/>
        </w:rPr>
        <w:t xml:space="preserve"> </w:t>
      </w:r>
      <w:r w:rsidRPr="004E4EDF">
        <w:rPr>
          <w:rFonts w:cs="TimesNewRomanPSMT"/>
          <w:lang w:val="sr-Cyrl-RS"/>
        </w:rPr>
        <w:t>željezničku prugu Zagreb – Split i tzv. Jadranski</w:t>
      </w:r>
      <w:r w:rsidRPr="004E4EDF">
        <w:rPr>
          <w:rFonts w:cs="TimesNewRomanPSMT"/>
        </w:rPr>
        <w:t xml:space="preserve"> </w:t>
      </w:r>
      <w:r w:rsidRPr="004E4EDF">
        <w:rPr>
          <w:rFonts w:cs="TimesNewRomanPSMT"/>
          <w:lang w:val="sr-Cyrl-RS"/>
        </w:rPr>
        <w:t>željeznički pravac Rijeka – Otočac – Gračac – Šibenik</w:t>
      </w:r>
      <w:r w:rsidRPr="004E4EDF">
        <w:rPr>
          <w:rFonts w:cs="TimesNewRomanPSMT"/>
        </w:rPr>
        <w:t xml:space="preserve"> </w:t>
      </w:r>
      <w:r w:rsidRPr="004E4EDF">
        <w:rPr>
          <w:rFonts w:cs="TimesNewRomanPSMT"/>
          <w:lang w:val="sr-Cyrl-RS"/>
        </w:rPr>
        <w:t>– Split – Dubrovnik.</w:t>
      </w:r>
    </w:p>
    <w:p w:rsidR="004E4EDF" w:rsidRPr="004E4EDF" w:rsidRDefault="004E4EDF" w:rsidP="00B63C2D">
      <w:pPr>
        <w:autoSpaceDE w:val="0"/>
        <w:autoSpaceDN w:val="0"/>
        <w:adjustRightInd w:val="0"/>
        <w:spacing w:after="0"/>
        <w:jc w:val="both"/>
        <w:rPr>
          <w:rFonts w:cs="TimesNewRomanPSMT"/>
          <w:b/>
          <w:lang w:val="sr-Cyrl-RS"/>
        </w:rPr>
      </w:pPr>
      <w:r w:rsidRPr="004E4EDF">
        <w:rPr>
          <w:rFonts w:cs="TimesNewRomanPSMT"/>
          <w:b/>
          <w:lang w:val="sr-Cyrl-RS"/>
        </w:rPr>
        <w:t>Jadranska željeznica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(3) Alternativni koridor jadranske željezničke pruge</w:t>
      </w:r>
      <w:r w:rsidRPr="004E4EDF">
        <w:rPr>
          <w:rFonts w:cs="TimesNewRomanPSMT"/>
        </w:rPr>
        <w:t xml:space="preserve"> </w:t>
      </w:r>
      <w:r w:rsidRPr="004E4EDF">
        <w:rPr>
          <w:rFonts w:cs="TimesNewRomanPSMT"/>
          <w:lang w:val="sr-Cyrl-RS"/>
        </w:rPr>
        <w:t>Perković - Šibenik - Zadar je u planu rezerviran na razini</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planske informacije o eventualnom mogućem poželjnom</w:t>
      </w:r>
      <w:r w:rsidRPr="004E4EDF">
        <w:rPr>
          <w:rFonts w:cs="TimesNewRomanPSMT"/>
        </w:rPr>
        <w:t xml:space="preserve"> </w:t>
      </w:r>
      <w:r w:rsidRPr="004E4EDF">
        <w:rPr>
          <w:rFonts w:cs="TimesNewRomanPSMT"/>
          <w:lang w:val="sr-Cyrl-RS"/>
        </w:rPr>
        <w:t>položaju uz obvezu daljnjeg kompleksnog istraživanja</w:t>
      </w:r>
      <w:r w:rsidRPr="004E4EDF">
        <w:rPr>
          <w:rFonts w:cs="TimesNewRomanPSMT"/>
        </w:rPr>
        <w:t xml:space="preserve"> </w:t>
      </w:r>
      <w:r w:rsidRPr="004E4EDF">
        <w:rPr>
          <w:rFonts w:cs="TimesNewRomanPSMT"/>
          <w:lang w:val="sr-Cyrl-RS"/>
        </w:rPr>
        <w:t>prostornih, građevinskih i ekonomskih aspekata te</w:t>
      </w:r>
      <w:r w:rsidRPr="004E4EDF">
        <w:rPr>
          <w:rFonts w:cs="TimesNewRomanPSMT"/>
        </w:rPr>
        <w:t xml:space="preserve"> </w:t>
      </w:r>
      <w:r w:rsidRPr="004E4EDF">
        <w:rPr>
          <w:rFonts w:cs="TimesNewRomanPSMT"/>
          <w:lang w:val="sr-Cyrl-RS"/>
        </w:rPr>
        <w:t>zaštite okoliša.</w:t>
      </w:r>
    </w:p>
    <w:p w:rsidR="004E4EDF" w:rsidRPr="004E4EDF" w:rsidRDefault="004E4EDF" w:rsidP="00B63C2D">
      <w:pPr>
        <w:autoSpaceDE w:val="0"/>
        <w:autoSpaceDN w:val="0"/>
        <w:adjustRightInd w:val="0"/>
        <w:spacing w:after="0"/>
        <w:jc w:val="both"/>
        <w:rPr>
          <w:rFonts w:cs="TimesNewRomanPSMT"/>
          <w:b/>
          <w:lang w:val="sr-Cyrl-RS"/>
        </w:rPr>
      </w:pPr>
      <w:r w:rsidRPr="004E4EDF">
        <w:rPr>
          <w:rFonts w:cs="TimesNewRomanPSMT"/>
          <w:b/>
          <w:lang w:val="sr-Cyrl-RS"/>
        </w:rPr>
        <w:t>Međunarodne priključne pruge i regionalna pruga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(4) Mreža postojećih željezničkih pruga zadržava</w:t>
      </w:r>
      <w:r w:rsidRPr="004E4EDF">
        <w:rPr>
          <w:rFonts w:cs="TimesNewRomanPSMT"/>
        </w:rPr>
        <w:t xml:space="preserve"> </w:t>
      </w:r>
      <w:r w:rsidRPr="004E4EDF">
        <w:rPr>
          <w:rFonts w:cs="TimesNewRomanPSMT"/>
          <w:lang w:val="sr-Cyrl-RS"/>
        </w:rPr>
        <w:t>svoj prostorni položaj na kojem su moguće korekcije</w:t>
      </w:r>
      <w:r w:rsidRPr="004E4EDF">
        <w:rPr>
          <w:rFonts w:cs="TimesNewRomanPSMT"/>
        </w:rPr>
        <w:t xml:space="preserve"> </w:t>
      </w:r>
      <w:r w:rsidRPr="004E4EDF">
        <w:rPr>
          <w:rFonts w:cs="TimesNewRomanPSMT"/>
          <w:lang w:val="sr-Cyrl-RS"/>
        </w:rPr>
        <w:t>trase, elektrifi kacija pruga izgradnje kolodvora, prijelaza</w:t>
      </w:r>
      <w:r w:rsidRPr="004E4EDF">
        <w:rPr>
          <w:rFonts w:cs="TimesNewRomanPSMT"/>
        </w:rPr>
        <w:t xml:space="preserve"> </w:t>
      </w:r>
      <w:r w:rsidRPr="004E4EDF">
        <w:rPr>
          <w:rFonts w:cs="TimesNewRomanPSMT"/>
          <w:lang w:val="sr-Cyrl-RS"/>
        </w:rPr>
        <w:t>i druga poboljšanja radi povećanja protočnosti i sigurnosti</w:t>
      </w:r>
      <w:r w:rsidRPr="004E4EDF">
        <w:rPr>
          <w:rFonts w:cs="TimesNewRomanPSMT"/>
        </w:rPr>
        <w:t xml:space="preserve"> </w:t>
      </w:r>
      <w:r w:rsidRPr="004E4EDF">
        <w:rPr>
          <w:rFonts w:cs="TimesNewRomanPSMT"/>
          <w:lang w:val="sr-Cyrl-RS"/>
        </w:rPr>
        <w:t>prometa.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(5) Naročito se to odnosi na rekonstrukciju i poželjno</w:t>
      </w:r>
      <w:r w:rsidRPr="004E4EDF">
        <w:rPr>
          <w:rFonts w:cs="TimesNewRomanPSMT"/>
        </w:rPr>
        <w:t xml:space="preserve"> </w:t>
      </w:r>
      <w:r w:rsidRPr="004E4EDF">
        <w:rPr>
          <w:rFonts w:cs="TimesNewRomanPSMT"/>
          <w:lang w:val="sr-Cyrl-RS"/>
        </w:rPr>
        <w:t>izmještanje dijela trase međunarodne priključne pruge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M606 Knin – Zadar u kontaktnom području NP Krka.</w:t>
      </w:r>
    </w:p>
    <w:p w:rsidR="004E4EDF" w:rsidRPr="004E4EDF" w:rsidRDefault="004E4EDF" w:rsidP="00B63C2D">
      <w:pPr>
        <w:autoSpaceDE w:val="0"/>
        <w:autoSpaceDN w:val="0"/>
        <w:adjustRightInd w:val="0"/>
        <w:spacing w:after="0"/>
        <w:jc w:val="both"/>
        <w:rPr>
          <w:rFonts w:cs="TimesNewRomanPSMT"/>
          <w:b/>
          <w:lang w:val="sr-Cyrl-RS"/>
        </w:rPr>
      </w:pPr>
      <w:r w:rsidRPr="004E4EDF">
        <w:rPr>
          <w:rFonts w:cs="TimesNewRomanPSMT"/>
          <w:b/>
          <w:lang w:val="sr-Cyrl-RS"/>
        </w:rPr>
        <w:t>Pruga za posebni promet – industrijski kolosijek</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(6) Osim postojećih pruga za posebni promet Planom</w:t>
      </w:r>
      <w:r w:rsidRPr="004E4EDF">
        <w:rPr>
          <w:rFonts w:cs="TimesNewRomanPSMT"/>
        </w:rPr>
        <w:t xml:space="preserve"> </w:t>
      </w:r>
      <w:r w:rsidRPr="004E4EDF">
        <w:rPr>
          <w:rFonts w:cs="TimesNewRomanPSMT"/>
          <w:lang w:val="sr-Cyrl-RS"/>
        </w:rPr>
        <w:t>je predviđeno povezivanje gospodarske zone Podi</w:t>
      </w:r>
      <w:r>
        <w:rPr>
          <w:rFonts w:cs="TimesNewRomanPSMT"/>
        </w:rPr>
        <w:t xml:space="preserve"> </w:t>
      </w:r>
      <w:r w:rsidRPr="004E4EDF">
        <w:rPr>
          <w:rFonts w:cs="TimesNewRomanPSMT"/>
          <w:lang w:val="sr-Cyrl-RS"/>
        </w:rPr>
        <w:t>prugom za posebni promet/industrijskim kolosijekom</w:t>
      </w:r>
      <w:r w:rsidRPr="004E4EDF">
        <w:rPr>
          <w:rFonts w:cs="TimesNewRomanPSMT"/>
        </w:rPr>
        <w:t xml:space="preserve"> </w:t>
      </w:r>
      <w:r w:rsidRPr="004E4EDF">
        <w:rPr>
          <w:rFonts w:cs="TimesNewRomanPSMT"/>
          <w:lang w:val="sr-Cyrl-RS"/>
        </w:rPr>
        <w:t>na sustav željezničkog prometa države.</w:t>
      </w:r>
    </w:p>
    <w:p w:rsidR="004E4EDF" w:rsidRPr="004E4EDF" w:rsidRDefault="004E4EDF" w:rsidP="00B63C2D">
      <w:pPr>
        <w:autoSpaceDE w:val="0"/>
        <w:autoSpaceDN w:val="0"/>
        <w:adjustRightInd w:val="0"/>
        <w:spacing w:after="0"/>
        <w:jc w:val="both"/>
        <w:rPr>
          <w:rFonts w:cs="TimesNewRomanPSMT"/>
          <w:lang w:val="sr-Cyrl-RS"/>
        </w:rPr>
      </w:pP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Članak 117.</w:t>
      </w:r>
    </w:p>
    <w:p w:rsidR="004E4EDF" w:rsidRPr="004E4EDF" w:rsidRDefault="004E4EDF" w:rsidP="00B63C2D">
      <w:pPr>
        <w:autoSpaceDE w:val="0"/>
        <w:autoSpaceDN w:val="0"/>
        <w:adjustRightInd w:val="0"/>
        <w:spacing w:after="0"/>
        <w:jc w:val="both"/>
        <w:rPr>
          <w:rFonts w:cs="TimesNewRomanPSMT"/>
          <w:u w:val="single"/>
          <w:lang w:val="sr-Cyrl-RS"/>
        </w:rPr>
      </w:pPr>
      <w:r w:rsidRPr="004E4EDF">
        <w:rPr>
          <w:rFonts w:cs="TimesNewRomanPSMT"/>
          <w:u w:val="single"/>
          <w:lang w:val="sr-Cyrl-RS"/>
        </w:rPr>
        <w:t>Pomorski promet</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(4) Planom određene brodske linije županijskog</w:t>
      </w:r>
      <w:r w:rsidRPr="004E4EDF">
        <w:rPr>
          <w:rFonts w:cs="TimesNewRomanPSMT"/>
        </w:rPr>
        <w:t xml:space="preserve"> </w:t>
      </w:r>
      <w:r w:rsidRPr="004E4EDF">
        <w:rPr>
          <w:rFonts w:cs="TimesNewRomanPSMT"/>
          <w:lang w:val="sr-Cyrl-RS"/>
        </w:rPr>
        <w:t>značaja su veze kojima se omogućuje bolje i efikasnije</w:t>
      </w:r>
      <w:r w:rsidRPr="004E4EDF">
        <w:rPr>
          <w:rFonts w:cs="TimesNewRomanPSMT"/>
        </w:rPr>
        <w:t xml:space="preserve"> </w:t>
      </w:r>
      <w:r w:rsidRPr="004E4EDF">
        <w:rPr>
          <w:rFonts w:cs="TimesNewRomanPSMT"/>
          <w:lang w:val="sr-Cyrl-RS"/>
        </w:rPr>
        <w:t>povezivanje obalnog i otočnog dijela županije. U</w:t>
      </w:r>
      <w:r w:rsidRPr="004E4EDF">
        <w:rPr>
          <w:rFonts w:cs="TimesNewRomanPSMT"/>
        </w:rPr>
        <w:t xml:space="preserve"> </w:t>
      </w:r>
      <w:r w:rsidRPr="004E4EDF">
        <w:rPr>
          <w:rFonts w:cs="TimesNewRomanPSMT"/>
          <w:lang w:val="sr-Cyrl-RS"/>
        </w:rPr>
        <w:t>tom cilju Planom se predlažu slijedeće brodske veze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županijskog značaja: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Šibenik – Zlarin – Prvić – Vodice –Tribunj,</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Šibenik – Zlarin – Obonjan – Kaprije – Žirje,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Šibenik – Bilice – Skradin.</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Unutar lučkog područja svakog pojedinog</w:t>
      </w:r>
      <w:r w:rsidRPr="004E4EDF">
        <w:rPr>
          <w:rFonts w:cs="TimesNewRomanPSMT"/>
        </w:rPr>
        <w:t xml:space="preserve"> </w:t>
      </w:r>
      <w:r w:rsidRPr="004E4EDF">
        <w:rPr>
          <w:rFonts w:cs="TimesNewRomanPSMT"/>
          <w:lang w:val="sr-Cyrl-RS"/>
        </w:rPr>
        <w:t>naselja moguć je smještaj luke otvorene za javni promet,</w:t>
      </w:r>
      <w:r w:rsidRPr="004E4EDF">
        <w:rPr>
          <w:rFonts w:cs="TimesNewRomanPSMT"/>
        </w:rPr>
        <w:t xml:space="preserve"> </w:t>
      </w:r>
      <w:r w:rsidRPr="004E4EDF">
        <w:rPr>
          <w:rFonts w:cs="TimesNewRomanPSMT"/>
          <w:lang w:val="sr-Cyrl-RS"/>
        </w:rPr>
        <w:t>športske luke, komunalnih vezova (stalnih), prostora</w:t>
      </w:r>
      <w:r w:rsidRPr="004E4EDF">
        <w:rPr>
          <w:rFonts w:cs="TimesNewRomanPSMT"/>
        </w:rPr>
        <w:t xml:space="preserve"> </w:t>
      </w:r>
      <w:r w:rsidRPr="004E4EDF">
        <w:rPr>
          <w:rFonts w:cs="TimesNewRomanPSMT"/>
          <w:lang w:val="sr-Cyrl-RS"/>
        </w:rPr>
        <w:t>za prihvat plovila u tranzitu što uključuje i sidrenje te</w:t>
      </w:r>
    </w:p>
    <w:p w:rsidR="004E4EDF" w:rsidRPr="004E4EDF" w:rsidRDefault="004E4EDF" w:rsidP="00B63C2D">
      <w:pPr>
        <w:autoSpaceDE w:val="0"/>
        <w:autoSpaceDN w:val="0"/>
        <w:adjustRightInd w:val="0"/>
        <w:spacing w:after="0"/>
        <w:jc w:val="both"/>
        <w:rPr>
          <w:rFonts w:cs="TimesNewRomanPSMT"/>
        </w:rPr>
      </w:pPr>
      <w:r w:rsidRPr="004E4EDF">
        <w:rPr>
          <w:rFonts w:cs="TimesNewRomanPSMT"/>
          <w:lang w:val="sr-Cyrl-RS"/>
        </w:rPr>
        <w:t>ostalih luka posebne namjene u skladu s ovim Planom</w:t>
      </w:r>
      <w:r w:rsidRPr="004E4EDF">
        <w:rPr>
          <w:rFonts w:cs="TimesNewRomanPSMT"/>
        </w:rPr>
        <w:t>.</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(12) U cilju daljnjeg razvoja luka otvorenih za javni</w:t>
      </w:r>
      <w:r w:rsidRPr="004E4EDF">
        <w:rPr>
          <w:rFonts w:cs="TimesNewRomanPSMT"/>
        </w:rPr>
        <w:t xml:space="preserve"> </w:t>
      </w:r>
      <w:r w:rsidRPr="004E4EDF">
        <w:rPr>
          <w:rFonts w:cs="TimesNewRomanPSMT"/>
          <w:lang w:val="sr-Cyrl-RS"/>
        </w:rPr>
        <w:t>promet potrebno 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izraditi cjeloviti razvojni program pomorskog</w:t>
      </w:r>
      <w:r w:rsidRPr="004E4EDF">
        <w:rPr>
          <w:rFonts w:cs="TimesNewRomanPSMT"/>
        </w:rPr>
        <w:t xml:space="preserve"> </w:t>
      </w:r>
      <w:r w:rsidRPr="004E4EDF">
        <w:rPr>
          <w:rFonts w:cs="TimesNewRomanPSMT"/>
          <w:lang w:val="sr-Cyrl-RS"/>
        </w:rPr>
        <w:t>prometa sa strateškim smjernicama za svaku luku: uloga,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organizacija, građevna sanacija, izgradnja, investicije i</w:t>
      </w:r>
      <w:r w:rsidRPr="004E4EDF">
        <w:rPr>
          <w:rFonts w:cs="TimesNewRomanPSMT"/>
        </w:rPr>
        <w:t xml:space="preserve"> </w:t>
      </w:r>
      <w:r w:rsidRPr="004E4EDF">
        <w:rPr>
          <w:rFonts w:cs="TimesNewRomanPSMT"/>
          <w:lang w:val="sr-Cyrl-RS"/>
        </w:rPr>
        <w:t>dr.</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 luku Šibenik izraditi opći razvojni plan s ciljem</w:t>
      </w:r>
      <w:r w:rsidRPr="004E4EDF">
        <w:rPr>
          <w:rFonts w:cs="TimesNewRomanPSMT"/>
        </w:rPr>
        <w:t xml:space="preserve"> </w:t>
      </w:r>
      <w:r w:rsidRPr="004E4EDF">
        <w:rPr>
          <w:rFonts w:cs="TimesNewRomanPSMT"/>
          <w:lang w:val="sr-Cyrl-RS"/>
        </w:rPr>
        <w:t>prostorne i organizacijske racionalizacije i razdvajanja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teretnog, putničkog, trajektnog i nautičkog prometa.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osposobiti postojeće gatove ili izgraditi nove za</w:t>
      </w:r>
      <w:r w:rsidRPr="004E4EDF">
        <w:rPr>
          <w:rFonts w:cs="TimesNewRomanPSMT"/>
        </w:rPr>
        <w:t xml:space="preserve"> </w:t>
      </w:r>
      <w:r w:rsidRPr="004E4EDF">
        <w:rPr>
          <w:rFonts w:cs="TimesNewRomanPSMT"/>
          <w:lang w:val="sr-Cyrl-RS"/>
        </w:rPr>
        <w:t>sigurno pristajanje postojećih i nove generacije brzih brodova</w:t>
      </w:r>
      <w:r w:rsidRPr="004E4EDF">
        <w:rPr>
          <w:rFonts w:cs="TimesNewRomanPSMT"/>
        </w:rPr>
        <w:t xml:space="preserve"> </w:t>
      </w:r>
      <w:r w:rsidRPr="004E4EDF">
        <w:rPr>
          <w:rFonts w:cs="TimesNewRomanPSMT"/>
          <w:lang w:val="sr-Cyrl-RS"/>
        </w:rPr>
        <w:t>(do 30 milja/h) kojima bi se otoci znatno “približili</w:t>
      </w:r>
      <w:r w:rsidRPr="004E4EDF">
        <w:rPr>
          <w:rFonts w:cs="TimesNewRomanPSMT"/>
        </w:rPr>
        <w:t xml:space="preserve"> </w:t>
      </w:r>
      <w:r w:rsidRPr="004E4EDF">
        <w:rPr>
          <w:rFonts w:cs="TimesNewRomanPSMT"/>
          <w:lang w:val="sr-Cyrl-RS"/>
        </w:rPr>
        <w:t xml:space="preserve">kopnu”, te luke dopuniti potrebnim </w:t>
      </w:r>
      <w:r w:rsidRPr="004E4EDF">
        <w:rPr>
          <w:rFonts w:cs="TimesNewRomanPSMT"/>
        </w:rPr>
        <w:t>s</w:t>
      </w:r>
      <w:r w:rsidRPr="004E4EDF">
        <w:rPr>
          <w:rFonts w:cs="TimesNewRomanPSMT"/>
          <w:lang w:val="sr-Cyrl-RS"/>
        </w:rPr>
        <w:t>adržajima.</w:t>
      </w:r>
    </w:p>
    <w:p w:rsidR="004E4EDF" w:rsidRPr="004E4EDF" w:rsidRDefault="004E4EDF" w:rsidP="00B63C2D">
      <w:pPr>
        <w:autoSpaceDE w:val="0"/>
        <w:autoSpaceDN w:val="0"/>
        <w:adjustRightInd w:val="0"/>
        <w:spacing w:after="0"/>
        <w:jc w:val="both"/>
        <w:rPr>
          <w:rFonts w:cs="TimesNewRomanPSMT"/>
        </w:rPr>
      </w:pPr>
      <w:r w:rsidRPr="004E4EDF">
        <w:rPr>
          <w:rFonts w:cs="TimesNewRomanPSMT"/>
        </w:rPr>
        <w:t>(18) Postojeće marine se zadržavaju unutar postojećih površina, a za eventualna proširenja postojećih marina maksimalne površine određene su u tablici 17-1.</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(34) U svrhu osiguranja pristupa postojećim gospodarskim</w:t>
      </w:r>
      <w:r w:rsidRPr="004E4EDF">
        <w:rPr>
          <w:rFonts w:cs="TimesNewRomanPSMT"/>
        </w:rPr>
        <w:t xml:space="preserve"> </w:t>
      </w:r>
      <w:r w:rsidRPr="004E4EDF">
        <w:rPr>
          <w:rFonts w:cs="TimesNewRomanPSMT"/>
          <w:lang w:val="sr-Cyrl-RS"/>
        </w:rPr>
        <w:t>i rekreacijskim sadržajima na otocima i dijelovima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obale gdje se ne može osigurati drugačiji pristup, moguće</w:t>
      </w:r>
      <w:r w:rsidRPr="004E4EDF">
        <w:rPr>
          <w:rFonts w:cs="TimesNewRomanPSMT"/>
        </w:rPr>
        <w:t xml:space="preserve"> </w:t>
      </w:r>
      <w:r w:rsidRPr="004E4EDF">
        <w:rPr>
          <w:rFonts w:cs="TimesNewRomanPSMT"/>
          <w:lang w:val="sr-Cyrl-RS"/>
        </w:rPr>
        <w:t>je u PPUO/G planirati nužne infrastrukturne sadržaje za</w:t>
      </w:r>
      <w:r w:rsidRPr="004E4EDF">
        <w:rPr>
          <w:rFonts w:cs="TimesNewRomanPSMT"/>
        </w:rPr>
        <w:t xml:space="preserve"> </w:t>
      </w:r>
      <w:r w:rsidRPr="004E4EDF">
        <w:rPr>
          <w:rFonts w:cs="TimesNewRomanPSMT"/>
          <w:lang w:val="sr-Cyrl-RS"/>
        </w:rPr>
        <w:t>osiguranje mogućnosti morskog pristupa i to za: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postojeće ugostiteljsko-turističke građevine,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 potrebe obiteljskog poljoprivrednog gospodarstva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iz čl. 52. st. 3.,</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 potrebe sakupljanja neopasnog otpada,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 potrebe zona rekreacije iz čl. 82. st. 1. na otocima.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(35) Infrastrukturni sadržaji iz prethodnog stavka mogu</w:t>
      </w:r>
      <w:r w:rsidRPr="004E4EDF">
        <w:rPr>
          <w:rFonts w:cs="TimesNewRomanPSMT"/>
        </w:rPr>
        <w:t xml:space="preserve"> </w:t>
      </w:r>
      <w:r w:rsidRPr="004E4EDF">
        <w:rPr>
          <w:rFonts w:cs="TimesNewRomanPSMT"/>
          <w:lang w:val="sr-Cyrl-RS"/>
        </w:rPr>
        <w:t>se planirati u PPUO/G, sa kapacitetom i prostornim obuhvatom</w:t>
      </w:r>
      <w:r w:rsidRPr="004E4EDF">
        <w:rPr>
          <w:rFonts w:cs="TimesNewRomanPSMT"/>
        </w:rPr>
        <w:t xml:space="preserve"> </w:t>
      </w:r>
      <w:r w:rsidRPr="004E4EDF">
        <w:rPr>
          <w:rFonts w:cs="TimesNewRomanPSMT"/>
          <w:lang w:val="sr-Cyrl-RS"/>
        </w:rPr>
        <w:t>nužnim za obavljanje gospodarske ili rekreacijske</w:t>
      </w:r>
      <w:r w:rsidRPr="004E4EDF">
        <w:rPr>
          <w:rFonts w:cs="TimesNewRomanPSMT"/>
        </w:rPr>
        <w:t xml:space="preserve"> </w:t>
      </w:r>
      <w:r w:rsidRPr="004E4EDF">
        <w:rPr>
          <w:rFonts w:cs="TimesNewRomanPSMT"/>
          <w:lang w:val="sr-Cyrl-RS"/>
        </w:rPr>
        <w:t>aktivnosti, u pravilu pontonskog tipa na način da se u</w:t>
      </w:r>
      <w:r w:rsidRPr="004E4EDF">
        <w:rPr>
          <w:rFonts w:cs="TimesNewRomanPSMT"/>
        </w:rPr>
        <w:t xml:space="preserve"> </w:t>
      </w:r>
      <w:r w:rsidRPr="004E4EDF">
        <w:rPr>
          <w:rFonts w:cs="TimesNewRomanPSMT"/>
          <w:lang w:val="sr-Cyrl-RS"/>
        </w:rPr>
        <w:t>najmanjoj mogućoj mjeri narušava prirodna obala, te da</w:t>
      </w:r>
      <w:r w:rsidRPr="004E4EDF">
        <w:rPr>
          <w:rFonts w:cs="TimesNewRomanPSMT"/>
        </w:rPr>
        <w:t xml:space="preserve"> </w:t>
      </w:r>
      <w:r w:rsidRPr="004E4EDF">
        <w:rPr>
          <w:rFonts w:cs="TimesNewRomanPSMT"/>
          <w:lang w:val="sr-Cyrl-RS"/>
        </w:rPr>
        <w:t>se prvenstveno koriste, odnosno rekonstruiraju postojeći</w:t>
      </w:r>
      <w:r w:rsidRPr="004E4EDF">
        <w:rPr>
          <w:rFonts w:cs="TimesNewRomanPSMT"/>
        </w:rPr>
        <w:t xml:space="preserve"> </w:t>
      </w:r>
      <w:r w:rsidRPr="004E4EDF">
        <w:rPr>
          <w:rFonts w:cs="TimesNewRomanPSMT"/>
          <w:lang w:val="sr-Cyrl-RS"/>
        </w:rPr>
        <w:t>pristani gdje je to moguće. Detaljni uvjeti građenja i</w:t>
      </w:r>
      <w:r w:rsidRPr="004E4EDF">
        <w:rPr>
          <w:rFonts w:cs="TimesNewRomanPSMT"/>
        </w:rPr>
        <w:t xml:space="preserve"> </w:t>
      </w:r>
      <w:r w:rsidRPr="004E4EDF">
        <w:rPr>
          <w:rFonts w:cs="TimesNewRomanPSMT"/>
          <w:lang w:val="sr-Cyrl-RS"/>
        </w:rPr>
        <w:t>lokacije određuju se u PPUO/G.</w:t>
      </w:r>
    </w:p>
    <w:p w:rsidR="00126E8D" w:rsidRDefault="004E4EDF" w:rsidP="00126E8D">
      <w:pPr>
        <w:autoSpaceDE w:val="0"/>
        <w:autoSpaceDN w:val="0"/>
        <w:adjustRightInd w:val="0"/>
        <w:spacing w:after="120"/>
        <w:jc w:val="both"/>
        <w:rPr>
          <w:rFonts w:cs="TimesNewRomanPSMT"/>
          <w:lang w:val="sr-Cyrl-RS"/>
        </w:rPr>
      </w:pPr>
      <w:r w:rsidRPr="004E4EDF">
        <w:rPr>
          <w:rFonts w:cs="TimesNewRomanPSMT"/>
          <w:lang w:val="sr-Cyrl-RS"/>
        </w:rPr>
        <w:t>(36) Mogućnosti i uvjeti planiranja i rekonstrukcije</w:t>
      </w:r>
      <w:r w:rsidRPr="004E4EDF">
        <w:rPr>
          <w:rFonts w:cs="TimesNewRomanPSMT"/>
        </w:rPr>
        <w:t xml:space="preserve"> </w:t>
      </w:r>
      <w:r w:rsidRPr="004E4EDF">
        <w:rPr>
          <w:rFonts w:cs="TimesNewRomanPSMT"/>
          <w:lang w:val="sr-Cyrl-RS"/>
        </w:rPr>
        <w:t>sadržaja iz prethodnog stavka na području NP Kornati</w:t>
      </w:r>
      <w:r w:rsidRPr="004E4EDF">
        <w:rPr>
          <w:rFonts w:cs="TimesNewRomanPSMT"/>
        </w:rPr>
        <w:t xml:space="preserve"> </w:t>
      </w:r>
      <w:r w:rsidRPr="004E4EDF">
        <w:rPr>
          <w:rFonts w:cs="TimesNewRomanPSMT"/>
          <w:lang w:val="sr-Cyrl-RS"/>
        </w:rPr>
        <w:t>i Zaštićenog krajobraza Žutsko-Sitske otočne skupine,</w:t>
      </w:r>
      <w:r w:rsidRPr="004E4EDF">
        <w:rPr>
          <w:rFonts w:cs="TimesNewRomanPSMT"/>
        </w:rPr>
        <w:t xml:space="preserve"> </w:t>
      </w:r>
      <w:r w:rsidRPr="004E4EDF">
        <w:rPr>
          <w:rFonts w:cs="TimesNewRomanPSMT"/>
          <w:lang w:val="sr-Cyrl-RS"/>
        </w:rPr>
        <w:t>prvenstveno u funkciji zona tradicijske gradnje, određuju</w:t>
      </w:r>
      <w:r w:rsidRPr="004E4EDF">
        <w:rPr>
          <w:rFonts w:cs="TimesNewRomanPSMT"/>
        </w:rPr>
        <w:t xml:space="preserve"> </w:t>
      </w:r>
      <w:r w:rsidRPr="004E4EDF">
        <w:rPr>
          <w:rFonts w:cs="TimesNewRomanPSMT"/>
          <w:lang w:val="sr-Cyrl-RS"/>
        </w:rPr>
        <w:t>se u prostornim planovima područja posebnih obilježja“.</w:t>
      </w:r>
    </w:p>
    <w:p w:rsidR="00E850C4" w:rsidRDefault="00E850C4" w:rsidP="00B63C2D">
      <w:pPr>
        <w:autoSpaceDE w:val="0"/>
        <w:autoSpaceDN w:val="0"/>
        <w:adjustRightInd w:val="0"/>
        <w:spacing w:after="0"/>
        <w:jc w:val="both"/>
        <w:rPr>
          <w:rFonts w:cs="TimesNewRomanPSMT"/>
          <w:i/>
        </w:rPr>
      </w:pPr>
    </w:p>
    <w:p w:rsidR="00E850C4" w:rsidRDefault="00E850C4" w:rsidP="00B63C2D">
      <w:pPr>
        <w:autoSpaceDE w:val="0"/>
        <w:autoSpaceDN w:val="0"/>
        <w:adjustRightInd w:val="0"/>
        <w:spacing w:after="0"/>
        <w:jc w:val="both"/>
        <w:rPr>
          <w:rFonts w:cs="TimesNewRomanPSMT"/>
          <w:i/>
        </w:rPr>
      </w:pPr>
    </w:p>
    <w:p w:rsidR="00126E8D" w:rsidRPr="00126E8D" w:rsidRDefault="00126E8D" w:rsidP="00B63C2D">
      <w:pPr>
        <w:autoSpaceDE w:val="0"/>
        <w:autoSpaceDN w:val="0"/>
        <w:adjustRightInd w:val="0"/>
        <w:spacing w:after="0"/>
        <w:jc w:val="both"/>
        <w:rPr>
          <w:rFonts w:cs="TimesNewRomanPSMT"/>
          <w:i/>
        </w:rPr>
      </w:pPr>
      <w:proofErr w:type="spellStart"/>
      <w:r w:rsidRPr="00126E8D">
        <w:rPr>
          <w:rFonts w:cs="TimesNewRomanPSMT"/>
          <w:i/>
        </w:rPr>
        <w:t>Tab</w:t>
      </w:r>
      <w:proofErr w:type="spellEnd"/>
      <w:r w:rsidRPr="00126E8D">
        <w:rPr>
          <w:rFonts w:cs="TimesNewRomanPSMT"/>
          <w:i/>
        </w:rPr>
        <w:t>. 1. Tablica s lokacijama postojećih i planiranih marina, Prostorni plan Šibensko-kninske županije</w:t>
      </w:r>
    </w:p>
    <w:p w:rsidR="004E4EDF" w:rsidRPr="004E4EDF" w:rsidRDefault="004E4EDF" w:rsidP="00B63C2D">
      <w:pPr>
        <w:autoSpaceDE w:val="0"/>
        <w:autoSpaceDN w:val="0"/>
        <w:adjustRightInd w:val="0"/>
        <w:spacing w:after="0"/>
        <w:jc w:val="both"/>
        <w:rPr>
          <w:rFonts w:cs="TimesNewRomanPSMT"/>
        </w:rPr>
      </w:pPr>
      <w:r w:rsidRPr="004E4EDF">
        <w:rPr>
          <w:rFonts w:cs="TimesNewRomanPSMT"/>
          <w:noProof/>
        </w:rPr>
        <w:drawing>
          <wp:inline distT="0" distB="0" distL="0" distR="0" wp14:anchorId="73F6F403" wp14:editId="63FC1B30">
            <wp:extent cx="5391060" cy="3095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5"/>
                    <a:stretch/>
                  </pic:blipFill>
                  <pic:spPr bwMode="auto">
                    <a:xfrm>
                      <a:off x="0" y="0"/>
                      <a:ext cx="5391510" cy="3095296"/>
                    </a:xfrm>
                    <a:prstGeom prst="rect">
                      <a:avLst/>
                    </a:prstGeom>
                    <a:noFill/>
                    <a:ln>
                      <a:noFill/>
                    </a:ln>
                    <a:extLst>
                      <a:ext uri="{53640926-AAD7-44D8-BBD7-CCE9431645EC}">
                        <a14:shadowObscured xmlns:a14="http://schemas.microsoft.com/office/drawing/2010/main"/>
                      </a:ext>
                    </a:extLst>
                  </pic:spPr>
                </pic:pic>
              </a:graphicData>
            </a:graphic>
          </wp:inline>
        </w:drawing>
      </w:r>
    </w:p>
    <w:p w:rsidR="004E4EDF" w:rsidRPr="004E4EDF" w:rsidRDefault="004E4EDF" w:rsidP="00B63C2D">
      <w:pPr>
        <w:autoSpaceDE w:val="0"/>
        <w:autoSpaceDN w:val="0"/>
        <w:adjustRightInd w:val="0"/>
        <w:spacing w:after="0"/>
        <w:jc w:val="both"/>
        <w:rPr>
          <w:rFonts w:cs="TimesNewRomanPSMT"/>
        </w:rPr>
      </w:pP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U prostornim planovima uređenja općina ili</w:t>
      </w:r>
      <w:r w:rsidRPr="004E4EDF">
        <w:rPr>
          <w:rFonts w:cs="TimesNewRomanPSMT"/>
        </w:rPr>
        <w:t xml:space="preserve"> </w:t>
      </w:r>
      <w:r w:rsidRPr="004E4EDF">
        <w:rPr>
          <w:rFonts w:cs="TimesNewRomanPSMT"/>
          <w:lang w:val="sr-Cyrl-RS"/>
        </w:rPr>
        <w:t>gradova potrebno je u prostoru naselja planirati športske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luke i to na slijedećim lokacijama: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Ražanj - Uvala Ražanj</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Rogoznica - kod mosta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Stupin – Čeline – luka Čeline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Primošten - Porat</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Šparadići - ispred Todorovića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Grebaštica - zapadni dio uvale Galešnica,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jugoistočni dio uvale Luka Grebaštica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Žaborić - Studena uvala, Studena uvala-misto</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Jadrtovac - sjeverno od Marinovog mula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Krapanj - sjeverna obala otoka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Krapanj - Donje more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Brodarica - Maratuša, Gaj, Južna uvala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Zablaće - Uvala Zablaće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Šibenik - Uvala Vrnaža, Dolac</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Jadrija - Uvala Sićenica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Zlarin - Uvala Zlarin</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Prvić - Prvić Luka, Luka Šepurine, Uvala Perolina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Kaprije - Uvala Kaprije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Žirje - Uvala Muna, Koromašna, Mikavica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Raslina - Luka Raslina, sv. Mihovil</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Zaton - Uvala Zaton</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Bilice - Stubalj, Vrulje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Skradin - Mala jaruga, Rivina jaruga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Vodice – dio avatorija središnjeg dijela naselja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Vodice od uvale V. Vrulje do prostora ispred “stare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škole”,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Srima - Lovetovo, Vrulje,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Tribunj - uvala sj. od poluotoka, uvala Sovlje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Pirovac - Porat, Stara riva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Tisno - Gomilica kod mosta, dio uvale Veliki</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Porat, zapadna strana uvale Luka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Betina – Porat, Zdrače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Murter - dio uvale Hramina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Jezera - Uvala Jezera.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Uvjeti uređenja, kapacitet i obuhvat odredit će</w:t>
      </w:r>
      <w:r w:rsidRPr="004E4EDF">
        <w:rPr>
          <w:rFonts w:cs="TimesNewRomanPSMT"/>
        </w:rPr>
        <w:t xml:space="preserve"> </w:t>
      </w:r>
      <w:r w:rsidRPr="004E4EDF">
        <w:rPr>
          <w:rFonts w:cs="TimesNewRomanPSMT"/>
          <w:lang w:val="sr-Cyrl-RS"/>
        </w:rPr>
        <w:t>se u PPUO/G. Športske luke svojim kapacitetom trebaju</w:t>
      </w:r>
      <w:r w:rsidRPr="004E4EDF">
        <w:rPr>
          <w:rFonts w:cs="TimesNewRomanPSMT"/>
        </w:rPr>
        <w:t xml:space="preserve"> </w:t>
      </w:r>
      <w:r w:rsidRPr="004E4EDF">
        <w:rPr>
          <w:rFonts w:cs="TimesNewRomanPSMT"/>
          <w:lang w:val="sr-Cyrl-RS"/>
        </w:rPr>
        <w:t>biti dimenzionirane tako da zajedno s komunalnim vezovima</w:t>
      </w:r>
      <w:r w:rsidRPr="004E4EDF">
        <w:rPr>
          <w:rFonts w:cs="TimesNewRomanPSMT"/>
        </w:rPr>
        <w:t xml:space="preserve"> </w:t>
      </w:r>
      <w:r w:rsidRPr="004E4EDF">
        <w:rPr>
          <w:rFonts w:cs="TimesNewRomanPSMT"/>
          <w:lang w:val="sr-Cyrl-RS"/>
        </w:rPr>
        <w:t>zadovolje potrebe smještaja registriranih plovila</w:t>
      </w:r>
      <w:r w:rsidRPr="004E4EDF">
        <w:rPr>
          <w:rFonts w:cs="TimesNewRomanPSMT"/>
        </w:rPr>
        <w:t xml:space="preserve"> </w:t>
      </w:r>
      <w:r w:rsidRPr="004E4EDF">
        <w:rPr>
          <w:rFonts w:cs="TimesNewRomanPSMT"/>
          <w:lang w:val="sr-Cyrl-RS"/>
        </w:rPr>
        <w:t>za osobne potrebe uz uvećanje od minimalno 20% za</w:t>
      </w:r>
      <w:r w:rsidRPr="004E4EDF">
        <w:rPr>
          <w:rFonts w:cs="TimesNewRomanPSMT"/>
        </w:rPr>
        <w:t xml:space="preserve"> </w:t>
      </w:r>
      <w:r w:rsidRPr="004E4EDF">
        <w:rPr>
          <w:rFonts w:cs="TimesNewRomanPSMT"/>
          <w:lang w:val="sr-Cyrl-RS"/>
        </w:rPr>
        <w:t>buduće korisnike. Ukoliko se unutar postojećih lokacija</w:t>
      </w:r>
      <w:r w:rsidRPr="004E4EDF">
        <w:rPr>
          <w:rFonts w:cs="TimesNewRomanPSMT"/>
        </w:rPr>
        <w:t xml:space="preserve"> </w:t>
      </w:r>
      <w:r w:rsidRPr="004E4EDF">
        <w:rPr>
          <w:rFonts w:cs="TimesNewRomanPSMT"/>
          <w:lang w:val="sr-Cyrl-RS"/>
        </w:rPr>
        <w:t>sportskih luka iz prethodnog stavka ne mogu zadovoljiti</w:t>
      </w:r>
      <w:r w:rsidRPr="004E4EDF">
        <w:rPr>
          <w:rFonts w:cs="TimesNewRomanPSMT"/>
        </w:rPr>
        <w:t xml:space="preserve"> </w:t>
      </w:r>
      <w:r w:rsidRPr="004E4EDF">
        <w:rPr>
          <w:rFonts w:cs="TimesNewRomanPSMT"/>
          <w:lang w:val="sr-Cyrl-RS"/>
        </w:rPr>
        <w:t>ovi uvjeti, nove lokacije za smještaj plovila moguće je</w:t>
      </w:r>
      <w:r w:rsidRPr="004E4EDF">
        <w:rPr>
          <w:rFonts w:cs="TimesNewRomanPSMT"/>
        </w:rPr>
        <w:t xml:space="preserve"> </w:t>
      </w:r>
      <w:r w:rsidRPr="004E4EDF">
        <w:rPr>
          <w:rFonts w:cs="TimesNewRomanPSMT"/>
          <w:lang w:val="sr-Cyrl-RS"/>
        </w:rPr>
        <w:t>planirati na slijedećim lokacijama: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Kanica – uvala Draga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Stivašnica – Uvala Stivančica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Zatoglav – dio uvale Račićka luka i luka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Zatoglav</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Stupin – Čeline – uvala Stupin</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Lozica – dio uvale Lozica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Dolac – uvala Dolac</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Bilo – dio uvale Hodmešćica</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Žaborić – uvala Jasenove</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Zablaće – uvala Blata – Koludrčko</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Tisno – dio obale od mosta prema Lovišću,</w:t>
      </w:r>
    </w:p>
    <w:p w:rsid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 uvale Mala Marica i Dumbočica u Prukljanskom</w:t>
      </w:r>
    </w:p>
    <w:p w:rsidR="004E4EDF" w:rsidRPr="004E4EDF" w:rsidRDefault="004E4EDF" w:rsidP="00B63C2D">
      <w:pPr>
        <w:autoSpaceDE w:val="0"/>
        <w:autoSpaceDN w:val="0"/>
        <w:adjustRightInd w:val="0"/>
        <w:spacing w:after="0"/>
        <w:jc w:val="both"/>
        <w:rPr>
          <w:rFonts w:cs="TimesNewRomanPSMT"/>
        </w:rPr>
      </w:pPr>
    </w:p>
    <w:p w:rsidR="004E4EDF" w:rsidRPr="004E4EDF" w:rsidRDefault="004E4EDF" w:rsidP="00B63C2D">
      <w:pPr>
        <w:autoSpaceDE w:val="0"/>
        <w:autoSpaceDN w:val="0"/>
        <w:adjustRightInd w:val="0"/>
        <w:spacing w:after="0"/>
        <w:jc w:val="both"/>
        <w:rPr>
          <w:rFonts w:cs="TimesNewRomanPSMT"/>
          <w:u w:val="single"/>
          <w:lang w:val="sr-Cyrl-RS"/>
        </w:rPr>
      </w:pPr>
      <w:r w:rsidRPr="004E4EDF">
        <w:rPr>
          <w:rFonts w:cs="TimesNewRomanPSMT"/>
          <w:u w:val="single"/>
          <w:lang w:val="sr-Cyrl-RS"/>
        </w:rPr>
        <w:t>Zračni promet</w:t>
      </w:r>
    </w:p>
    <w:p w:rsidR="004E4EDF" w:rsidRPr="004E4EDF" w:rsidRDefault="004E4EDF" w:rsidP="00B63C2D">
      <w:pPr>
        <w:autoSpaceDE w:val="0"/>
        <w:autoSpaceDN w:val="0"/>
        <w:adjustRightInd w:val="0"/>
        <w:spacing w:after="0"/>
        <w:jc w:val="both"/>
        <w:rPr>
          <w:rFonts w:cs="TimesNewRomanPSMT"/>
          <w:b/>
          <w:u w:val="single"/>
          <w:lang w:val="sr-Cyrl-RS"/>
        </w:rPr>
      </w:pPr>
      <w:r w:rsidRPr="004E4EDF">
        <w:rPr>
          <w:rFonts w:cs="TimesNewRomanPSMT"/>
          <w:b/>
          <w:u w:val="single"/>
          <w:lang w:val="sr-Cyrl-RS"/>
        </w:rPr>
        <w:t>Aerodromi</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(1) Aerodrom Pokrovnik kod Drniša načelno je prostorno određena na osnovi ranijih prostornih i drugih</w:t>
      </w:r>
      <w:r w:rsidRPr="004E4EDF">
        <w:rPr>
          <w:rFonts w:cs="TimesNewRomanPSMT"/>
        </w:rPr>
        <w:t xml:space="preserve"> </w:t>
      </w:r>
      <w:r w:rsidRPr="004E4EDF">
        <w:rPr>
          <w:rFonts w:cs="TimesNewRomanPSMT"/>
          <w:lang w:val="sr-Cyrl-RS"/>
        </w:rPr>
        <w:t>istraživanja i tehničkog rješenja. S obzirom na izuzetno povoljnu orjentaciju uzletno-sletne staze u smjeru dominantnih</w:t>
      </w:r>
      <w:r w:rsidRPr="004E4EDF">
        <w:rPr>
          <w:rFonts w:cs="TimesNewRomanPSMT"/>
        </w:rPr>
        <w:t xml:space="preserve"> </w:t>
      </w:r>
      <w:r w:rsidRPr="004E4EDF">
        <w:rPr>
          <w:rFonts w:cs="TimesNewRomanPSMT"/>
          <w:lang w:val="sr-Cyrl-RS"/>
        </w:rPr>
        <w:t>vjetrova, osobito dobrih klimatoloških i topografskih prilika te smještaja između značajnih prometnih</w:t>
      </w:r>
      <w:r w:rsidRPr="004E4EDF">
        <w:rPr>
          <w:rFonts w:cs="TimesNewRomanPSMT"/>
        </w:rPr>
        <w:t xml:space="preserve"> </w:t>
      </w:r>
      <w:r w:rsidRPr="004E4EDF">
        <w:rPr>
          <w:rFonts w:cs="TimesNewRomanPSMT"/>
          <w:lang w:val="sr-Cyrl-RS"/>
        </w:rPr>
        <w:t>koridora (državne ceste, planirane brze ceste, planirane željeznice velikog kapaciteta i velikih brzina) planom se</w:t>
      </w:r>
      <w:r w:rsidRPr="004E4EDF">
        <w:rPr>
          <w:rFonts w:cs="TimesNewRomanPSMT"/>
        </w:rPr>
        <w:t xml:space="preserve"> </w:t>
      </w:r>
      <w:r w:rsidRPr="004E4EDF">
        <w:rPr>
          <w:rFonts w:cs="TimesNewRomanPSMT"/>
          <w:lang w:val="sr-Cyrl-RS"/>
        </w:rPr>
        <w:t>omogućuje istraživanje mogućeg smještaja i razvoja aerodroma Pokrovnik kao zračne luke višeg ranga.</w:t>
      </w:r>
    </w:p>
    <w:p w:rsidR="004E4EDF" w:rsidRPr="004E4EDF" w:rsidRDefault="004E4EDF" w:rsidP="00B63C2D">
      <w:pPr>
        <w:autoSpaceDE w:val="0"/>
        <w:autoSpaceDN w:val="0"/>
        <w:adjustRightInd w:val="0"/>
        <w:spacing w:after="0"/>
        <w:jc w:val="both"/>
        <w:rPr>
          <w:rFonts w:cs="TimesNewRomanPSMT"/>
          <w:b/>
          <w:u w:val="single"/>
          <w:lang w:val="sr-Cyrl-RS"/>
        </w:rPr>
      </w:pPr>
      <w:r w:rsidRPr="004E4EDF">
        <w:rPr>
          <w:rFonts w:cs="TimesNewRomanPSMT"/>
          <w:b/>
          <w:u w:val="single"/>
        </w:rPr>
        <w:t>H</w:t>
      </w:r>
      <w:r w:rsidRPr="004E4EDF">
        <w:rPr>
          <w:rFonts w:cs="TimesNewRomanPSMT"/>
          <w:b/>
          <w:u w:val="single"/>
          <w:lang w:val="sr-Cyrl-RS"/>
        </w:rPr>
        <w:t>elidromi</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(2) Planom je određen smještaj helidroma na otoku</w:t>
      </w:r>
      <w:r w:rsidRPr="004E4EDF">
        <w:rPr>
          <w:rFonts w:cs="TimesNewRomanPSMT"/>
        </w:rPr>
        <w:t xml:space="preserve"> </w:t>
      </w:r>
      <w:r w:rsidRPr="004E4EDF">
        <w:rPr>
          <w:rFonts w:cs="TimesNewRomanPSMT"/>
          <w:lang w:val="sr-Cyrl-RS"/>
        </w:rPr>
        <w:t>Žirju i na Pokrovniku kao i interventni helidromi u</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Šibeniku, Kninu i na otocima Prviću, Zlarinu, Kapriju</w:t>
      </w:r>
      <w:r w:rsidRPr="004E4EDF">
        <w:rPr>
          <w:rFonts w:cs="TimesNewRomanPSMT"/>
        </w:rPr>
        <w:t xml:space="preserve"> </w:t>
      </w:r>
      <w:r w:rsidRPr="004E4EDF">
        <w:rPr>
          <w:rFonts w:cs="TimesNewRomanPSMT"/>
          <w:lang w:val="sr-Cyrl-RS"/>
        </w:rPr>
        <w:t>i Žirju. Detaljni uvjeti smještaja odredit će se u</w:t>
      </w:r>
      <w:r w:rsidRPr="004E4EDF">
        <w:rPr>
          <w:rFonts w:cs="TimesNewRomanPSMT"/>
        </w:rPr>
        <w:t xml:space="preserve"> </w:t>
      </w:r>
      <w:r w:rsidRPr="004E4EDF">
        <w:rPr>
          <w:rFonts w:cs="TimesNewRomanPSMT"/>
          <w:lang w:val="sr-Cyrl-RS"/>
        </w:rPr>
        <w:t>PPUO/G.</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(3) Planom je omogućen smještaj helidroma i drugih</w:t>
      </w:r>
      <w:r w:rsidRPr="004E4EDF">
        <w:rPr>
          <w:rFonts w:cs="TimesNewRomanPSMT"/>
        </w:rPr>
        <w:t xml:space="preserve"> </w:t>
      </w:r>
      <w:r w:rsidRPr="004E4EDF">
        <w:rPr>
          <w:rFonts w:cs="TimesNewRomanPSMT"/>
          <w:lang w:val="sr-Cyrl-RS"/>
        </w:rPr>
        <w:t>namjena (za potrebe zdravstvene zaštite, turizma i sl)</w:t>
      </w:r>
    </w:p>
    <w:p w:rsidR="004E4EDF" w:rsidRP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na lokacijama unutar i izvan građevinskih područja</w:t>
      </w:r>
      <w:r w:rsidRPr="004E4EDF">
        <w:rPr>
          <w:rFonts w:cs="TimesNewRomanPSMT"/>
        </w:rPr>
        <w:t xml:space="preserve"> </w:t>
      </w:r>
      <w:r w:rsidRPr="004E4EDF">
        <w:rPr>
          <w:rFonts w:cs="TimesNewRomanPSMT"/>
          <w:lang w:val="sr-Cyrl-RS"/>
        </w:rPr>
        <w:t>sukladno posebnom propisu. Detaljni uvjeti smještaja</w:t>
      </w:r>
    </w:p>
    <w:p w:rsidR="004E4EDF" w:rsidRDefault="004E4EDF" w:rsidP="00B63C2D">
      <w:pPr>
        <w:autoSpaceDE w:val="0"/>
        <w:autoSpaceDN w:val="0"/>
        <w:adjustRightInd w:val="0"/>
        <w:spacing w:after="0"/>
        <w:jc w:val="both"/>
        <w:rPr>
          <w:rFonts w:cs="TimesNewRomanPSMT"/>
          <w:lang w:val="sr-Cyrl-RS"/>
        </w:rPr>
      </w:pPr>
      <w:r w:rsidRPr="004E4EDF">
        <w:rPr>
          <w:rFonts w:cs="TimesNewRomanPSMT"/>
          <w:lang w:val="sr-Cyrl-RS"/>
        </w:rPr>
        <w:t>odredit će se u PPUO/G.</w:t>
      </w:r>
    </w:p>
    <w:p w:rsidR="004E4EDF" w:rsidRDefault="004E4EDF" w:rsidP="00B63C2D">
      <w:pPr>
        <w:autoSpaceDE w:val="0"/>
        <w:autoSpaceDN w:val="0"/>
        <w:adjustRightInd w:val="0"/>
        <w:spacing w:after="0"/>
        <w:jc w:val="both"/>
        <w:rPr>
          <w:rFonts w:cs="TimesNewRomanPSMT"/>
          <w:lang w:val="sr-Cyrl-RS"/>
        </w:rPr>
      </w:pPr>
    </w:p>
    <w:p w:rsidR="00126E8D" w:rsidRDefault="00126E8D" w:rsidP="00B63C2D">
      <w:pPr>
        <w:autoSpaceDE w:val="0"/>
        <w:autoSpaceDN w:val="0"/>
        <w:adjustRightInd w:val="0"/>
        <w:spacing w:after="0"/>
        <w:jc w:val="both"/>
        <w:rPr>
          <w:rFonts w:cs="TimesNewRomanPSMT"/>
          <w:lang w:val="sr-Cyrl-RS"/>
        </w:rPr>
      </w:pPr>
      <w:r>
        <w:rPr>
          <w:rFonts w:cs="TimesNewRomanPSMT"/>
          <w:noProof/>
        </w:rPr>
        <w:drawing>
          <wp:inline distT="0" distB="0" distL="0" distR="0">
            <wp:extent cx="5880827" cy="4400550"/>
            <wp:effectExtent l="0" t="0" r="0" b="0"/>
            <wp:docPr id="3" name="Picture 3" descr="D:\POSAO\URBANEX\Investicijski katalog Šibenik\PP ŠKŽ\grafički\2_1_Pr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AO\URBANEX\Investicijski katalog Šibenik\PP ŠKŽ\grafički\2_1_Prome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2" t="4202" r="1489" b="3992"/>
                    <a:stretch/>
                  </pic:blipFill>
                  <pic:spPr bwMode="auto">
                    <a:xfrm>
                      <a:off x="0" y="0"/>
                      <a:ext cx="5881332" cy="4400928"/>
                    </a:xfrm>
                    <a:prstGeom prst="rect">
                      <a:avLst/>
                    </a:prstGeom>
                    <a:noFill/>
                    <a:ln>
                      <a:noFill/>
                    </a:ln>
                    <a:extLst>
                      <a:ext uri="{53640926-AAD7-44D8-BBD7-CCE9431645EC}">
                        <a14:shadowObscured xmlns:a14="http://schemas.microsoft.com/office/drawing/2010/main"/>
                      </a:ext>
                    </a:extLst>
                  </pic:spPr>
                </pic:pic>
              </a:graphicData>
            </a:graphic>
          </wp:inline>
        </w:drawing>
      </w:r>
    </w:p>
    <w:p w:rsidR="00126E8D" w:rsidRPr="00126E8D" w:rsidRDefault="00E850C4" w:rsidP="00B63C2D">
      <w:pPr>
        <w:autoSpaceDE w:val="0"/>
        <w:autoSpaceDN w:val="0"/>
        <w:adjustRightInd w:val="0"/>
        <w:spacing w:after="0"/>
        <w:jc w:val="both"/>
        <w:rPr>
          <w:rFonts w:cs="TimesNewRomanPSMT"/>
          <w:i/>
        </w:rPr>
      </w:pPr>
      <w:r>
        <w:rPr>
          <w:rFonts w:cs="TimesNewRomanPSMT"/>
          <w:i/>
        </w:rPr>
        <w:t>Sl. 3</w:t>
      </w:r>
      <w:r w:rsidR="00126E8D" w:rsidRPr="00126E8D">
        <w:rPr>
          <w:rFonts w:cs="TimesNewRomanPSMT"/>
          <w:i/>
        </w:rPr>
        <w:t>. Karta prometa, PP Šibensko-kninske županije, IV. izmjene i dopune</w:t>
      </w:r>
    </w:p>
    <w:p w:rsidR="00126E8D" w:rsidRPr="00126E8D" w:rsidRDefault="00126E8D" w:rsidP="00B63C2D">
      <w:pPr>
        <w:autoSpaceDE w:val="0"/>
        <w:autoSpaceDN w:val="0"/>
        <w:adjustRightInd w:val="0"/>
        <w:spacing w:after="0"/>
        <w:jc w:val="both"/>
        <w:rPr>
          <w:rFonts w:cs="TimesNewRomanPSMT"/>
        </w:rPr>
      </w:pPr>
    </w:p>
    <w:p w:rsidR="004E4EDF" w:rsidRPr="00206991" w:rsidRDefault="004E4EDF" w:rsidP="00B63C2D">
      <w:pPr>
        <w:autoSpaceDE w:val="0"/>
        <w:autoSpaceDN w:val="0"/>
        <w:adjustRightInd w:val="0"/>
        <w:spacing w:after="0"/>
        <w:jc w:val="both"/>
        <w:rPr>
          <w:rFonts w:cs="TimesNewRomanPSMT"/>
        </w:rPr>
      </w:pPr>
      <w:r>
        <w:rPr>
          <w:rFonts w:cs="TimesNewRomanPSMT"/>
        </w:rPr>
        <w:t xml:space="preserve">Prostornim planom uređenja Grada Šibenika izdvajaju se građevine i zahvati od važnosti za Državu i Županiju te planovi za </w:t>
      </w:r>
      <w:r w:rsidR="00206991">
        <w:rPr>
          <w:rFonts w:cs="TimesNewRomanPSMT"/>
        </w:rPr>
        <w:t>sve vrste prometa:</w:t>
      </w:r>
    </w:p>
    <w:p w:rsidR="004E4EDF" w:rsidRPr="004E4EDF" w:rsidRDefault="004E4EDF" w:rsidP="00B63C2D">
      <w:pPr>
        <w:autoSpaceDE w:val="0"/>
        <w:autoSpaceDN w:val="0"/>
        <w:adjustRightInd w:val="0"/>
        <w:spacing w:after="0"/>
        <w:jc w:val="both"/>
        <w:rPr>
          <w:rFonts w:cs="TimesNewRoman,Bold"/>
          <w:b/>
          <w:bCs/>
          <w:lang w:val="sr-Cyrl-RS"/>
        </w:rPr>
      </w:pPr>
      <w:r w:rsidRPr="004E4EDF">
        <w:rPr>
          <w:rFonts w:cs="TimesNewRoman,Bold"/>
          <w:b/>
          <w:bCs/>
          <w:lang w:val="sr-Cyrl-RS"/>
        </w:rPr>
        <w:t>Građevine i zahvati od važnosti za Državu</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Članak 2.</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2.1.1. Prometne građevina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a) Cestovne građevine s pripadajućim građevinama</w:t>
      </w:r>
      <w:r w:rsidRPr="004E4EDF">
        <w:rPr>
          <w:rFonts w:cs="TimesNewRoman"/>
        </w:rPr>
        <w:t xml:space="preserve"> </w:t>
      </w:r>
      <w:r w:rsidRPr="004E4EDF">
        <w:rPr>
          <w:rFonts w:cs="TimesNewRoman"/>
          <w:lang w:val="sr-Cyrl-RS"/>
        </w:rPr>
        <w:t>i uređajima: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1. autocesta A1: Zagreb (Lučko)- Bosiljevo – Split</w:t>
      </w:r>
      <w:r w:rsidRPr="004E4EDF">
        <w:rPr>
          <w:rFonts w:cs="TimesNewRoman"/>
        </w:rPr>
        <w:t xml:space="preserve"> </w:t>
      </w:r>
      <w:r w:rsidRPr="004E4EDF">
        <w:rPr>
          <w:rFonts w:cs="TimesNewRoman"/>
          <w:lang w:val="sr-Cyrl-RS"/>
        </w:rPr>
        <w:t>- Dubrovnik,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2. brza cesta: Šibenik - Drniš - Knin - BiH,</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3. održavanje, uređenje i rekonstrukcija postojećih</w:t>
      </w:r>
      <w:r w:rsidRPr="004E4EDF">
        <w:rPr>
          <w:rFonts w:cs="TimesNewRoman"/>
        </w:rPr>
        <w:t xml:space="preserve"> </w:t>
      </w:r>
      <w:r w:rsidRPr="004E4EDF">
        <w:rPr>
          <w:rFonts w:cs="TimesNewRoman"/>
          <w:lang w:val="sr-Cyrl-RS"/>
        </w:rPr>
        <w:t>državnih cesta s izgradnjom obilaznica naselja Šibenik</w:t>
      </w:r>
      <w:r w:rsidRPr="004E4EDF">
        <w:rPr>
          <w:rFonts w:cs="TimesNewRoman"/>
        </w:rPr>
        <w:t xml:space="preserve"> </w:t>
      </w:r>
      <w:r w:rsidRPr="004E4EDF">
        <w:rPr>
          <w:rFonts w:cs="TimesNewRoman"/>
          <w:lang w:val="sr-Cyrl-RS"/>
        </w:rPr>
        <w:t>i Brodarica,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b) Željezničke građevine s pripadajućim</w:t>
      </w:r>
      <w:r w:rsidRPr="004E4EDF">
        <w:rPr>
          <w:rFonts w:cs="TimesNewRoman"/>
        </w:rPr>
        <w:t xml:space="preserve"> </w:t>
      </w:r>
      <w:r w:rsidRPr="004E4EDF">
        <w:rPr>
          <w:rFonts w:cs="TimesNewRoman"/>
          <w:lang w:val="sr-Cyrl-RS"/>
        </w:rPr>
        <w:t>građevinama: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1. planirana željeznička pruga velikog kapaciteta i</w:t>
      </w:r>
      <w:r w:rsidRPr="004E4EDF">
        <w:rPr>
          <w:rFonts w:cs="TimesNewRoman"/>
        </w:rPr>
        <w:t xml:space="preserve"> </w:t>
      </w:r>
      <w:r w:rsidRPr="004E4EDF">
        <w:rPr>
          <w:rFonts w:cs="TimesNewRoman"/>
          <w:lang w:val="sr-Cyrl-RS"/>
        </w:rPr>
        <w:t>brzine do 250 km/h Gračac - Radučić - Oklaj - Šibenik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Split,</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2. alternativni koridor jadranske željezničke pruge</w:t>
      </w:r>
      <w:r w:rsidRPr="004E4EDF">
        <w:rPr>
          <w:rFonts w:cs="TimesNewRoman"/>
        </w:rPr>
        <w:t xml:space="preserve"> </w:t>
      </w:r>
      <w:r w:rsidRPr="004E4EDF">
        <w:rPr>
          <w:rFonts w:cs="TimesNewRoman"/>
          <w:lang w:val="sr-Cyrl-RS"/>
        </w:rPr>
        <w:t>Split - Šibenik - Zadar,</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3. održavanje, uređenje i rekonstrukcija postojećih</w:t>
      </w:r>
      <w:r w:rsidRPr="004E4EDF">
        <w:rPr>
          <w:rFonts w:cs="TimesNewRoman"/>
        </w:rPr>
        <w:t xml:space="preserve"> </w:t>
      </w:r>
      <w:r w:rsidRPr="004E4EDF">
        <w:rPr>
          <w:rFonts w:cs="TimesNewRoman"/>
          <w:lang w:val="sr-Cyrl-RS"/>
        </w:rPr>
        <w:t>magistralnih željezničkih pruga, te kolosijeci i pružna</w:t>
      </w:r>
      <w:r w:rsidRPr="004E4EDF">
        <w:rPr>
          <w:rFonts w:cs="TimesNewRoman"/>
        </w:rPr>
        <w:t xml:space="preserve"> </w:t>
      </w:r>
      <w:r w:rsidRPr="004E4EDF">
        <w:rPr>
          <w:rFonts w:cs="TimesNewRoman"/>
          <w:lang w:val="sr-Cyrl-RS"/>
        </w:rPr>
        <w:t>postrojenja na kolodvorima, osim industrijskih</w:t>
      </w:r>
      <w:r w:rsidRPr="004E4EDF">
        <w:rPr>
          <w:rFonts w:cs="TimesNewRoman"/>
        </w:rPr>
        <w:t xml:space="preserve"> </w:t>
      </w:r>
      <w:r w:rsidRPr="004E4EDF">
        <w:rPr>
          <w:rFonts w:cs="TimesNewRoman"/>
          <w:lang w:val="sr-Cyrl-RS"/>
        </w:rPr>
        <w:t>kolosijeka, kolodvorskih i pogonskih zgrada,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c) Zrakoplovne građevine: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planirani helidrom na Žirju i interventni helidromi</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na otocima Zlarin i Kaprije,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d) Pomorske građevine: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1. luka za javni promet od osobitog (međunarodnog)</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gospodarskog interesa za RH-luka Šibenik (Planom</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se predlaže viša kategorija u odnosu na Program</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prostornog uređenja RH),</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2. industrijska luka-luka Šibenik;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3. luke nautičkog turizma i športske luke kapaciteta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više od 200 vezova.</w:t>
      </w:r>
    </w:p>
    <w:p w:rsidR="004E4EDF" w:rsidRPr="004E4EDF" w:rsidRDefault="004E4EDF" w:rsidP="00B63C2D">
      <w:pPr>
        <w:autoSpaceDE w:val="0"/>
        <w:autoSpaceDN w:val="0"/>
        <w:adjustRightInd w:val="0"/>
        <w:spacing w:after="0"/>
        <w:jc w:val="both"/>
        <w:rPr>
          <w:rFonts w:cs="TimesNewRoman"/>
          <w:lang w:val="sr-Cyrl-RS"/>
        </w:rPr>
      </w:pPr>
    </w:p>
    <w:p w:rsidR="004E4EDF" w:rsidRPr="004E4EDF" w:rsidRDefault="004E4EDF" w:rsidP="00B63C2D">
      <w:pPr>
        <w:autoSpaceDE w:val="0"/>
        <w:autoSpaceDN w:val="0"/>
        <w:adjustRightInd w:val="0"/>
        <w:spacing w:after="0"/>
        <w:jc w:val="both"/>
        <w:rPr>
          <w:rFonts w:cs="TimesNewRoman,Bold"/>
          <w:b/>
          <w:bCs/>
          <w:lang w:val="sr-Cyrl-RS"/>
        </w:rPr>
      </w:pPr>
      <w:r w:rsidRPr="004E4EDF">
        <w:rPr>
          <w:rFonts w:cs="TimesNewRoman,Bold"/>
          <w:b/>
          <w:bCs/>
          <w:lang w:val="sr-Cyrl-RS"/>
        </w:rPr>
        <w:t>2.2. Građevine i zahvati od važnosti za Županiju</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2.2.1. Prometne građevine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a) Cestovne građevine s pripadajućim građevinama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i uređajima</w:t>
      </w:r>
    </w:p>
    <w:p w:rsidR="004E4EDF" w:rsidRPr="004E4EDF" w:rsidRDefault="004E4EDF" w:rsidP="00B63C2D">
      <w:pPr>
        <w:autoSpaceDE w:val="0"/>
        <w:autoSpaceDN w:val="0"/>
        <w:adjustRightInd w:val="0"/>
        <w:spacing w:after="0"/>
        <w:jc w:val="both"/>
        <w:rPr>
          <w:rFonts w:cs="TimesNewRoman"/>
        </w:rPr>
      </w:pPr>
      <w:r w:rsidRPr="004E4EDF">
        <w:rPr>
          <w:rFonts w:cs="TimesNewRoman"/>
          <w:lang w:val="sr-Cyrl-RS"/>
        </w:rPr>
        <w:t>- nova cesta od zapadnog ulaza u Šibenik -JTC do</w:t>
      </w:r>
      <w:r w:rsidRPr="004E4EDF">
        <w:rPr>
          <w:rFonts w:cs="TimesNewRoman"/>
        </w:rPr>
        <w:t xml:space="preserve"> </w:t>
      </w:r>
      <w:r w:rsidRPr="004E4EDF">
        <w:rPr>
          <w:rFonts w:cs="TimesNewRoman"/>
          <w:lang w:val="sr-Cyrl-RS"/>
        </w:rPr>
        <w:t>obale (područja bivšeg TEF-a),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na ostalim dionicama postojećih županijskih cesta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moguće je održavanje i rekonstrukcija radi poboljšanja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tehničkih elemenata, manje korekcije trase radi</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poboljšanja tehničkih elemenata prometnice pri čemu</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se to ne smatra promjenom trase,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b) Željezničke građevine s pripadajućim</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građevinama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industrijski kolosijeci radnih zona (Podi),</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kolodvorske i pogonske zgrade,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c) Pomorske građevine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luke lokalnog značaja: Mandalina, Grebaštica,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Žaborić, Krapanj, Brodarica, Zablaće, Šibenik - Crnica,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Jadrija, Zlarin, Kaprije, Žirje, Zaton i Raslina,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ribarske luke: Šibenik,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luke nautičkog turizma i športske luke kapaciteta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manjeg od 200 vezova.</w:t>
      </w:r>
    </w:p>
    <w:p w:rsidR="004E4EDF" w:rsidRPr="004E4EDF" w:rsidRDefault="004E4EDF" w:rsidP="00B63C2D">
      <w:pPr>
        <w:autoSpaceDE w:val="0"/>
        <w:autoSpaceDN w:val="0"/>
        <w:adjustRightInd w:val="0"/>
        <w:spacing w:after="0"/>
        <w:jc w:val="both"/>
        <w:rPr>
          <w:rFonts w:cs="Arial"/>
          <w:color w:val="000000"/>
          <w:lang w:val="sr-Cyrl-RS"/>
        </w:rPr>
      </w:pPr>
    </w:p>
    <w:p w:rsidR="004E4EDF" w:rsidRPr="004E4EDF" w:rsidRDefault="004E4EDF" w:rsidP="00B63C2D">
      <w:pPr>
        <w:autoSpaceDE w:val="0"/>
        <w:autoSpaceDN w:val="0"/>
        <w:adjustRightInd w:val="0"/>
        <w:spacing w:after="0"/>
        <w:jc w:val="both"/>
        <w:rPr>
          <w:rFonts w:cs="TimesNewRoman"/>
          <w:u w:val="single"/>
          <w:lang w:val="sr-Cyrl-RS"/>
        </w:rPr>
      </w:pPr>
      <w:r w:rsidRPr="004E4EDF">
        <w:rPr>
          <w:rFonts w:cs="TimesNewRoman"/>
          <w:u w:val="single"/>
        </w:rPr>
        <w:t>Cestovni</w:t>
      </w:r>
      <w:r w:rsidRPr="004E4EDF">
        <w:rPr>
          <w:rFonts w:cs="TimesNewRoman"/>
          <w:u w:val="single"/>
          <w:lang w:val="sr-Cyrl-RS"/>
        </w:rPr>
        <w:t xml:space="preserve"> promet</w:t>
      </w:r>
    </w:p>
    <w:p w:rsidR="004E4EDF" w:rsidRPr="004E4EDF" w:rsidRDefault="004E4EDF" w:rsidP="00B63C2D">
      <w:pPr>
        <w:autoSpaceDE w:val="0"/>
        <w:autoSpaceDN w:val="0"/>
        <w:adjustRightInd w:val="0"/>
        <w:spacing w:after="0"/>
        <w:jc w:val="both"/>
      </w:pPr>
      <w:r w:rsidRPr="004E4EDF">
        <w:t>Članak 107.</w:t>
      </w:r>
    </w:p>
    <w:p w:rsidR="004E4EDF" w:rsidRPr="004E4EDF" w:rsidRDefault="004E4EDF" w:rsidP="00B63C2D">
      <w:pPr>
        <w:autoSpaceDE w:val="0"/>
        <w:autoSpaceDN w:val="0"/>
        <w:adjustRightInd w:val="0"/>
        <w:spacing w:after="0"/>
        <w:jc w:val="both"/>
      </w:pPr>
      <w:r w:rsidRPr="004E4EDF">
        <w:t>PPUG Šibenik se predviđa korištenje mjesnih i međumjesnih ulica za javni gradski prijevoz. Na odgovarajućim</w:t>
      </w:r>
    </w:p>
    <w:p w:rsidR="004E4EDF" w:rsidRPr="004E4EDF" w:rsidRDefault="004E4EDF" w:rsidP="00B63C2D">
      <w:pPr>
        <w:autoSpaceDE w:val="0"/>
        <w:autoSpaceDN w:val="0"/>
        <w:adjustRightInd w:val="0"/>
        <w:spacing w:after="0"/>
        <w:jc w:val="both"/>
      </w:pPr>
      <w:r w:rsidRPr="004E4EDF">
        <w:t>mjestima potrebno je predvidjeti proširenja za stajališta s nadstrešnicama za putnike.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Članak 108.</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PPUG Šibenik se uz mjesne ulice predviđa uređenje pločnika za kretanje pješaka u širini koja ovisi o</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pretpostavljenom broju korisnika, ali ne manjoj od 1,5 m.</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Iznimno u ulicama gdje to postojeća izgradnja ne dozvoljava, pločnik se može urediti i u manjim gabaritima.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Članak 109.</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U PPUG Šibenik se omogućuje izgradnja pratećih sadržaja u koridorima državnih cesta na području Grada</w:t>
      </w:r>
      <w:r w:rsidRPr="004E4EDF">
        <w:rPr>
          <w:rFonts w:cs="TimesNewRoman"/>
        </w:rPr>
        <w:t xml:space="preserve"> </w:t>
      </w:r>
      <w:r w:rsidRPr="004E4EDF">
        <w:rPr>
          <w:rFonts w:cs="TimesNewRoman"/>
          <w:lang w:val="sr-Cyrl-RS"/>
        </w:rPr>
        <w:t>Šibenika osim na dijelu državne ceste D-8 od granice s Gradom Vodice, do granice GUP-a grada Šibenika i</w:t>
      </w:r>
      <w:r w:rsidRPr="004E4EDF">
        <w:rPr>
          <w:rFonts w:cs="TimesNewRoman"/>
        </w:rPr>
        <w:t xml:space="preserve"> </w:t>
      </w:r>
      <w:r w:rsidRPr="004E4EDF">
        <w:rPr>
          <w:rFonts w:cs="TimesNewRoman"/>
          <w:lang w:val="sr-Cyrl-RS"/>
        </w:rPr>
        <w:t>dijelu državne ceste D-58 od granice GUP-a grada Šibenika do građevinskog područja naselja Vrpolje.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Pod pratećim sadržajima iz prethodnog stavka podrazumijevaju se odmorišta, vidikovci i benzinske postaje. Uvjeti izgradnje benzinskih postaja određeni su člankom 80. ovih odredbi, a sklopu odmorišta i vidikovaca omogućuje se izgradnja parkirališta, sanitarija, manjih ugostiteljskih građevina (prizemne građevine tlocrtne površine do 100 m2) i dječjih igrališta sukladno posebnom propisu. Površine za planirane sadržaje moguće je planirati isključivo unutar koridora prometnica određenih detaljnijom projektnom dokumentacijom, odnosno stručnom podlogom.</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Detaljni uvjeti smještaja odredit će se u skladu s posebnim prometnim uvjetima.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Iznimno, uz državnu cestu D8 na području koje je na kartografskom prikazu određeno kao infrastrukturni koridor (IS) planiran je smještaj odmorišta na način da je moguć smještaj parkirališta, sanitarnih uređaja (tlocrtne površine do 20 m2), te manjih ugostiteljskih sadržaja (tlocrtne površine do 40 m2). Navedeni sadržaji sezonskog su karaktera te se njihov smještaj planira u montažnim prizemnim građevinama. Detaljni uvjeti smještaja odredit će se u skladu s posebnim prometnim uvjetima.</w:t>
      </w:r>
    </w:p>
    <w:p w:rsidR="004E4EDF" w:rsidRPr="00CB39B7" w:rsidRDefault="004E4EDF" w:rsidP="00B63C2D">
      <w:pPr>
        <w:autoSpaceDE w:val="0"/>
        <w:autoSpaceDN w:val="0"/>
        <w:adjustRightInd w:val="0"/>
        <w:spacing w:after="0"/>
        <w:jc w:val="both"/>
        <w:rPr>
          <w:rFonts w:cs="Arial"/>
          <w:color w:val="000000"/>
          <w:lang w:val="sr-Cyrl-RS"/>
        </w:rPr>
      </w:pPr>
      <w:r w:rsidRPr="00CB39B7">
        <w:rPr>
          <w:rFonts w:cs="Arial"/>
          <w:color w:val="000000"/>
          <w:lang w:val="sr-Cyrl-RS"/>
        </w:rPr>
        <w:t xml:space="preserve">Prateći sadržaji koji se planiraju uz prometnicu smještavaju se na način da razmak između dva takva sadržaja ne može biti manji od 5 km. </w:t>
      </w:r>
    </w:p>
    <w:p w:rsidR="004E4EDF" w:rsidRPr="00CB39B7" w:rsidRDefault="004E4EDF" w:rsidP="00B63C2D">
      <w:pPr>
        <w:autoSpaceDE w:val="0"/>
        <w:autoSpaceDN w:val="0"/>
        <w:adjustRightInd w:val="0"/>
        <w:spacing w:after="0"/>
        <w:jc w:val="both"/>
        <w:rPr>
          <w:rFonts w:cs="Arial"/>
          <w:color w:val="000000"/>
          <w:lang w:val="sr-Cyrl-RS"/>
        </w:rPr>
      </w:pPr>
      <w:r w:rsidRPr="00CB39B7">
        <w:rPr>
          <w:rFonts w:cs="Arial"/>
          <w:color w:val="000000"/>
          <w:lang w:val="sr-Cyrl-RS"/>
        </w:rPr>
        <w:t xml:space="preserve">Iznimno se dozvoljava nadogradnja postojećeg restorana Trstenik uz cestu D58 u postojećim tlocrtnim gabaritima građevine maksimalne visine izgradnje P+1. </w:t>
      </w:r>
    </w:p>
    <w:p w:rsidR="004E4EDF" w:rsidRPr="004E4EDF" w:rsidRDefault="004E4EDF" w:rsidP="00B63C2D">
      <w:pPr>
        <w:autoSpaceDE w:val="0"/>
        <w:autoSpaceDN w:val="0"/>
        <w:adjustRightInd w:val="0"/>
        <w:spacing w:after="0"/>
        <w:jc w:val="both"/>
        <w:rPr>
          <w:rFonts w:cs="TimesNewRoman"/>
          <w:lang w:val="sr-Cyrl-RS"/>
        </w:rPr>
      </w:pPr>
      <w:r w:rsidRPr="004E4EDF">
        <w:rPr>
          <w:rFonts w:cs="Arial"/>
          <w:color w:val="000000"/>
          <w:lang w:val="sr-Cyrl-RS"/>
        </w:rPr>
        <w:t>Uz postojeći smještajni objekt Panorama na šibenskom mostu koji je izgrađen kao prateći sadržaj (motel) uz vidikovac na Šibenskom mostu na državnoj cesti D8 planira se izgradnja sadržaja kompatibilnih osnovnoj namjeni kojima će se kvalitativno dopuniti ponuda postojećeg motela. Navedeno kompletiranje uključuje povećanje kapaciteta do ukupno 80 ležajeva (postojeći + planirani), otvoreni bazen sa sanitarnim čvorom i garderobom, otvorena sportska igrališta, ugostiteljske sadržaje s terasom, te parkirališta a sve u skladu s posebnim propisom. Detaljni uvjeti odredit će se UPU-om čiji je obuhvat određen ovim Planom.</w:t>
      </w:r>
    </w:p>
    <w:p w:rsidR="004E4EDF" w:rsidRPr="004E4EDF" w:rsidRDefault="004E4EDF" w:rsidP="00B63C2D">
      <w:pPr>
        <w:autoSpaceDE w:val="0"/>
        <w:autoSpaceDN w:val="0"/>
        <w:adjustRightInd w:val="0"/>
        <w:spacing w:after="0"/>
        <w:jc w:val="both"/>
        <w:rPr>
          <w:rFonts w:cs="TimesNewRoman"/>
          <w:lang w:val="sr-Cyrl-RS"/>
        </w:rPr>
      </w:pPr>
    </w:p>
    <w:p w:rsidR="004E4EDF" w:rsidRPr="004E4EDF" w:rsidRDefault="004E4EDF" w:rsidP="00B63C2D">
      <w:pPr>
        <w:autoSpaceDE w:val="0"/>
        <w:autoSpaceDN w:val="0"/>
        <w:adjustRightInd w:val="0"/>
        <w:spacing w:after="0"/>
        <w:jc w:val="both"/>
        <w:rPr>
          <w:rFonts w:cs="TimesNewRoman"/>
          <w:u w:val="single"/>
          <w:lang w:val="sr-Cyrl-RS"/>
        </w:rPr>
      </w:pPr>
      <w:r w:rsidRPr="004E4EDF">
        <w:rPr>
          <w:rFonts w:cs="TimesNewRoman"/>
          <w:u w:val="single"/>
          <w:lang w:val="sr-Cyrl-RS"/>
        </w:rPr>
        <w:t>Željeznički promet</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Članak 110.</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U okviru dugoročne razvojne perspektive, kao alternativni koridor novoj Jadranskoj željezničkoj pruzi u</w:t>
      </w:r>
      <w:r w:rsidRPr="004E4EDF">
        <w:rPr>
          <w:rFonts w:cs="TimesNewRoman"/>
        </w:rPr>
        <w:t xml:space="preserve"> </w:t>
      </w:r>
      <w:r w:rsidRPr="004E4EDF">
        <w:rPr>
          <w:rFonts w:cs="TimesNewRoman"/>
          <w:lang w:val="sr-Cyrl-RS"/>
        </w:rPr>
        <w:t>kartografskom prikazu br. 1 na nivou osnovne informacije prikazan je i produžetak tzv. obalne pruge od Šibenika</w:t>
      </w:r>
      <w:r w:rsidRPr="004E4EDF">
        <w:rPr>
          <w:rFonts w:cs="TimesNewRoman"/>
        </w:rPr>
        <w:t xml:space="preserve"> </w:t>
      </w:r>
      <w:r w:rsidRPr="004E4EDF">
        <w:rPr>
          <w:rFonts w:cs="TimesNewRoman"/>
          <w:lang w:val="sr-Cyrl-RS"/>
        </w:rPr>
        <w:t>prema Zadru. To je pruga velike propusne moći, odnosno velikih brzina (do 250 km/sat kao krajnje rješenje u</w:t>
      </w:r>
      <w:r w:rsidRPr="004E4EDF">
        <w:rPr>
          <w:rFonts w:cs="TimesNewRoman"/>
        </w:rPr>
        <w:t xml:space="preserve"> </w:t>
      </w:r>
      <w:r w:rsidRPr="004E4EDF">
        <w:rPr>
          <w:rFonts w:cs="TimesNewRoman"/>
          <w:lang w:val="sr-Cyrl-RS"/>
        </w:rPr>
        <w:t>daljoj budućnosti) međunarodnog značaja, obzirom da povezuje jadranski (Italija, Slovenija, Hrvatska, Crna</w:t>
      </w:r>
      <w:r w:rsidRPr="004E4EDF">
        <w:rPr>
          <w:rFonts w:cs="TimesNewRoman"/>
        </w:rPr>
        <w:t xml:space="preserve"> </w:t>
      </w:r>
      <w:r w:rsidRPr="004E4EDF">
        <w:rPr>
          <w:rFonts w:cs="TimesNewRoman"/>
          <w:lang w:val="sr-Cyrl-RS"/>
        </w:rPr>
        <w:t>Gora, Albanija) s egejskim prostorom (Grčka).</w:t>
      </w:r>
    </w:p>
    <w:p w:rsidR="004E4EDF" w:rsidRPr="004E4EDF" w:rsidRDefault="004E4EDF" w:rsidP="00B63C2D">
      <w:pPr>
        <w:autoSpaceDE w:val="0"/>
        <w:autoSpaceDN w:val="0"/>
        <w:adjustRightInd w:val="0"/>
        <w:spacing w:after="0"/>
        <w:jc w:val="both"/>
        <w:rPr>
          <w:rFonts w:cs="TimesNewRoman"/>
          <w:lang w:val="sr-Cyrl-RS"/>
        </w:rPr>
      </w:pPr>
    </w:p>
    <w:p w:rsidR="004E4EDF" w:rsidRDefault="004E4EDF" w:rsidP="00B63C2D">
      <w:pPr>
        <w:autoSpaceDE w:val="0"/>
        <w:autoSpaceDN w:val="0"/>
        <w:adjustRightInd w:val="0"/>
        <w:spacing w:after="0"/>
        <w:jc w:val="both"/>
        <w:rPr>
          <w:rFonts w:cs="TimesNewRoman"/>
          <w:u w:val="single"/>
          <w:lang w:val="sr-Cyrl-RS"/>
        </w:rPr>
      </w:pPr>
      <w:r w:rsidRPr="004E4EDF">
        <w:rPr>
          <w:rFonts w:cs="TimesNewRoman"/>
          <w:u w:val="single"/>
          <w:lang w:val="sr-Cyrl-RS"/>
        </w:rPr>
        <w:t>Pomorski promet</w:t>
      </w:r>
    </w:p>
    <w:p w:rsidR="004E4EDF" w:rsidRPr="004E4EDF" w:rsidRDefault="004E4EDF" w:rsidP="00B63C2D">
      <w:pPr>
        <w:autoSpaceDE w:val="0"/>
        <w:autoSpaceDN w:val="0"/>
        <w:adjustRightInd w:val="0"/>
        <w:spacing w:after="0"/>
        <w:jc w:val="both"/>
        <w:rPr>
          <w:rFonts w:cs="TimesNewRoman"/>
        </w:rPr>
      </w:pPr>
      <w:r w:rsidRPr="004E4EDF">
        <w:rPr>
          <w:rFonts w:cs="TimesNewRoman"/>
        </w:rPr>
        <w:t>Članak 111.</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U akvatoriju Grada Šibenika osiguravaju se</w:t>
      </w:r>
      <w:r w:rsidRPr="004E4EDF">
        <w:rPr>
          <w:rFonts w:cs="TimesNewRoman"/>
        </w:rPr>
        <w:t xml:space="preserve"> </w:t>
      </w:r>
      <w:r w:rsidRPr="004E4EDF">
        <w:rPr>
          <w:rFonts w:cs="TimesNewRoman"/>
          <w:lang w:val="sr-Cyrl-RS"/>
        </w:rPr>
        <w:t>prostorni uvjeti za organizaciju pomorskog prometa,</w:t>
      </w:r>
      <w:r w:rsidRPr="004E4EDF">
        <w:rPr>
          <w:rFonts w:cs="TimesNewRoman"/>
        </w:rPr>
        <w:t xml:space="preserve"> </w:t>
      </w:r>
      <w:r w:rsidRPr="004E4EDF">
        <w:rPr>
          <w:rFonts w:cs="TimesNewRoman"/>
          <w:lang w:val="sr-Cyrl-RS"/>
        </w:rPr>
        <w:t>kroz uspostavu slijedećih plovnih putova i morskih luka: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a) međunarodni plovni put;</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Šibenik - plovni put Rijeka-Mediteran,</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Šibenik-Zadar-Ancona, odnosno Šibenik-Ancona,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b) unutarnji plovni putovi županijskog značaja: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Šibenik-Zlarin-Prvić Luka-Prvić Šepurine-</w:t>
      </w:r>
      <w:r w:rsidRPr="004E4EDF">
        <w:rPr>
          <w:rFonts w:cs="TimesNewRoman"/>
        </w:rPr>
        <w:t xml:space="preserve"> </w:t>
      </w:r>
      <w:r w:rsidRPr="004E4EDF">
        <w:rPr>
          <w:rFonts w:cs="TimesNewRoman"/>
          <w:lang w:val="sr-Cyrl-RS"/>
        </w:rPr>
        <w:t>Obonjan-Kaprije-Žirje,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Šibenik-Kornati;</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c) morske luke za otvoreni javni promet;</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međunarodnog značaja u akvatoriju naselja</w:t>
      </w:r>
      <w:r w:rsidRPr="004E4EDF">
        <w:rPr>
          <w:rFonts w:cs="TimesNewRoman"/>
        </w:rPr>
        <w:t xml:space="preserve"> </w:t>
      </w:r>
      <w:r w:rsidRPr="004E4EDF">
        <w:rPr>
          <w:rFonts w:cs="TimesNewRoman"/>
          <w:lang w:val="sr-Cyrl-RS"/>
        </w:rPr>
        <w:t>Šibenik,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d) morske luke za otvorene javni promet;</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županijskog značaja: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postojeće: gradska luka Šibenik,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planirane (u akvatoriju naselja): Brodarica,</w:t>
      </w:r>
      <w:r w:rsidRPr="004E4EDF">
        <w:rPr>
          <w:rFonts w:cs="TimesNewRoman"/>
        </w:rPr>
        <w:t xml:space="preserve"> </w:t>
      </w:r>
      <w:r w:rsidRPr="004E4EDF">
        <w:rPr>
          <w:rFonts w:cs="TimesNewRoman"/>
          <w:lang w:val="sr-Cyrl-RS"/>
        </w:rPr>
        <w:t>Kaprije, Krapanj, Raslina, Zablaće, Zaton, Zlarin i Žirje,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lokalnog značaja: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postojeće: Jadrija, Brodarica, Zablaće, Krapanj,</w:t>
      </w:r>
      <w:r w:rsidRPr="004E4EDF">
        <w:rPr>
          <w:rFonts w:cs="TimesNewRoman"/>
        </w:rPr>
        <w:t xml:space="preserve"> </w:t>
      </w:r>
      <w:r w:rsidRPr="004E4EDF">
        <w:rPr>
          <w:rFonts w:cs="TimesNewRoman"/>
          <w:lang w:val="sr-Cyrl-RS"/>
        </w:rPr>
        <w:t>Obonjan, Zlarin, Kaprije, Žirje-Muna, Zaton i Raslina,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planirane (u akvatoriju naselja): Zlarin (uvala</w:t>
      </w:r>
      <w:r w:rsidRPr="004E4EDF">
        <w:rPr>
          <w:rFonts w:cs="TimesNewRoman"/>
        </w:rPr>
        <w:t xml:space="preserve"> </w:t>
      </w:r>
      <w:r w:rsidRPr="004E4EDF">
        <w:rPr>
          <w:rFonts w:cs="TimesNewRoman"/>
          <w:lang w:val="sr-Cyrl-RS"/>
        </w:rPr>
        <w:t>Boci), Mandalina, Grebaštici, Žaborić i Šibenik-</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Pekovac;</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e) morske luke posebne namjene;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ribarska luka u akvatoriju naselja Šibenik (oznaka</w:t>
      </w:r>
      <w:r w:rsidRPr="004E4EDF">
        <w:rPr>
          <w:rFonts w:cs="TimesNewRoman"/>
        </w:rPr>
        <w:t xml:space="preserve"> </w:t>
      </w:r>
      <w:r w:rsidRPr="004E4EDF">
        <w:rPr>
          <w:rFonts w:cs="TimesNewRoman"/>
          <w:lang w:val="sr-Cyrl-RS"/>
        </w:rPr>
        <w:t>LR),</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remontno brodogradilište: Šibenik-Mandalina</w:t>
      </w:r>
      <w:r w:rsidRPr="004E4EDF">
        <w:rPr>
          <w:rFonts w:cs="TimesNewRoman"/>
        </w:rPr>
        <w:t xml:space="preserve"> </w:t>
      </w:r>
      <w:r w:rsidRPr="004E4EDF">
        <w:rPr>
          <w:rFonts w:cs="TimesNewRoman"/>
          <w:lang w:val="sr-Cyrl-RS"/>
        </w:rPr>
        <w:t>(oznaka LB),</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luke nautičkog turizma u akvatoriju naselja Šibenik</w:t>
      </w:r>
      <w:r w:rsidRPr="004E4EDF">
        <w:rPr>
          <w:rFonts w:cs="TimesNewRoman"/>
        </w:rPr>
        <w:t xml:space="preserve"> </w:t>
      </w:r>
      <w:r w:rsidRPr="004E4EDF">
        <w:rPr>
          <w:rFonts w:cs="TimesNewRoman"/>
          <w:lang w:val="sr-Cyrl-RS"/>
        </w:rPr>
        <w:t>(Solaris, Mandalina-Vrnaža, Mandalina-Kulina),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Šibenik/Brodarica-Podsolarsko, Kaprije-Kaprije</w:t>
      </w:r>
      <w:r w:rsidRPr="004E4EDF">
        <w:rPr>
          <w:rFonts w:cs="TimesNewRoman"/>
        </w:rPr>
        <w:t xml:space="preserve"> </w:t>
      </w:r>
      <w:r w:rsidRPr="004E4EDF">
        <w:rPr>
          <w:rFonts w:cs="TimesNewRoman"/>
          <w:lang w:val="sr-Cyrl-RS"/>
        </w:rPr>
        <w:t>(oznala LN),</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sportske luke (oznaka LS) u akvatoriju naselja</w:t>
      </w:r>
      <w:r w:rsidRPr="004E4EDF">
        <w:rPr>
          <w:rFonts w:cs="TimesNewRoman"/>
        </w:rPr>
        <w:t xml:space="preserve"> </w:t>
      </w:r>
      <w:r w:rsidRPr="004E4EDF">
        <w:rPr>
          <w:rFonts w:cs="TimesNewRoman"/>
          <w:lang w:val="sr-Cyrl-RS"/>
        </w:rPr>
        <w:t>(luka koja služi za vez brodica upisanih u hrvatski</w:t>
      </w:r>
      <w:r w:rsidRPr="004E4EDF">
        <w:rPr>
          <w:rFonts w:cs="TimesNewRoman"/>
        </w:rPr>
        <w:t xml:space="preserve"> </w:t>
      </w:r>
      <w:r w:rsidRPr="004E4EDF">
        <w:rPr>
          <w:rFonts w:cs="TimesNewRoman"/>
          <w:lang w:val="sr-Cyrl-RS"/>
        </w:rPr>
        <w:t>očevidnik brodica s namjenom šport i razonoda, a koje</w:t>
      </w:r>
      <w:r w:rsidRPr="004E4EDF">
        <w:rPr>
          <w:rFonts w:cs="TimesNewRoman"/>
        </w:rPr>
        <w:t xml:space="preserve"> </w:t>
      </w:r>
      <w:r w:rsidRPr="004E4EDF">
        <w:rPr>
          <w:rFonts w:cs="TimesNewRoman"/>
          <w:lang w:val="sr-Cyrl-RS"/>
        </w:rPr>
        <w:t>brodice su u vlasništvu članova udruge ili same udruge</w:t>
      </w:r>
      <w:r w:rsidRPr="004E4EDF">
        <w:rPr>
          <w:rFonts w:cs="TimesNewRoman"/>
        </w:rPr>
        <w:t xml:space="preserve"> </w:t>
      </w:r>
      <w:r w:rsidRPr="004E4EDF">
        <w:rPr>
          <w:rFonts w:cs="TimesNewRoman"/>
          <w:lang w:val="sr-Cyrl-RS"/>
        </w:rPr>
        <w:t>koja ima koncesiju za luku):</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Šparadići - ispred Todorovića,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Grebaštica - zapadni dio uvale Galešnica, Dumići,</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Žaborić - Studena uvala, Studena uvala-misto,</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Jadrtovac - sjeverno od Marinovog mula,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Krapanj - sjeverna obala otoka,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Krapanj - Donje more,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Brodarica - Maratuša, Gaj, Južna uvala,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Zablaće - Uvala Zablaće,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Šibenik - Uvala Vrnaža (Mandalina) i Pekovac,</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Jadrija - Uvala Sićenica,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Zlarin - Uvala Zlarin,</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Kaprije - Uvala Kaprije,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Žirje - Uvala Muna, Koromašna, Mikavica,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Raslina - Luka Raslina, sv. Mihovil,</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 Zaton - Uvala Zaton.</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U postojećim lukama iz prethodnog stavka</w:t>
      </w:r>
      <w:r w:rsidRPr="004E4EDF">
        <w:rPr>
          <w:rFonts w:cs="TimesNewRoman"/>
        </w:rPr>
        <w:t xml:space="preserve"> </w:t>
      </w:r>
      <w:r w:rsidRPr="004E4EDF">
        <w:rPr>
          <w:rFonts w:cs="TimesNewRoman"/>
          <w:lang w:val="sr-Cyrl-RS"/>
        </w:rPr>
        <w:t>predviđeno je kompletiranje novim sadržajima, tako</w:t>
      </w:r>
      <w:r w:rsidRPr="004E4EDF">
        <w:rPr>
          <w:rFonts w:cs="TimesNewRoman"/>
        </w:rPr>
        <w:t xml:space="preserve"> </w:t>
      </w:r>
      <w:r w:rsidRPr="004E4EDF">
        <w:rPr>
          <w:rFonts w:cs="TimesNewRoman"/>
          <w:lang w:val="sr-Cyrl-RS"/>
        </w:rPr>
        <w:t>da se ne potiskuju osnovne funkcije luke. Unutar lučkog</w:t>
      </w:r>
      <w:r w:rsidRPr="004E4EDF">
        <w:rPr>
          <w:rFonts w:cs="TimesNewRoman"/>
        </w:rPr>
        <w:t xml:space="preserve"> </w:t>
      </w:r>
      <w:r w:rsidRPr="004E4EDF">
        <w:rPr>
          <w:rFonts w:cs="TimesNewRoman"/>
          <w:lang w:val="sr-Cyrl-RS"/>
        </w:rPr>
        <w:t>područja svakog pojedinog naselja moguć je smještaj</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luke otvorene za javni promet, športske luke,</w:t>
      </w:r>
      <w:r w:rsidRPr="004E4EDF">
        <w:rPr>
          <w:rFonts w:cs="TimesNewRoman"/>
        </w:rPr>
        <w:t xml:space="preserve"> </w:t>
      </w:r>
      <w:r w:rsidRPr="004E4EDF">
        <w:rPr>
          <w:rFonts w:cs="TimesNewRoman"/>
          <w:lang w:val="sr-Cyrl-RS"/>
        </w:rPr>
        <w:t>komunalnih vezova (stalnih), te prostora za prihvat</w:t>
      </w:r>
      <w:r w:rsidRPr="004E4EDF">
        <w:rPr>
          <w:rFonts w:cs="TimesNewRoman"/>
        </w:rPr>
        <w:t xml:space="preserve"> </w:t>
      </w:r>
      <w:r w:rsidRPr="004E4EDF">
        <w:rPr>
          <w:rFonts w:cs="TimesNewRoman"/>
          <w:lang w:val="sr-Cyrl-RS"/>
        </w:rPr>
        <w:t>plovila u tranzitu. Detaljni uvjeti uređenja i smještaja</w:t>
      </w:r>
      <w:r w:rsidRPr="004E4EDF">
        <w:rPr>
          <w:rFonts w:cs="TimesNewRoman"/>
        </w:rPr>
        <w:t xml:space="preserve"> </w:t>
      </w:r>
      <w:r w:rsidRPr="004E4EDF">
        <w:rPr>
          <w:rFonts w:cs="TimesNewRoman"/>
          <w:lang w:val="sr-Cyrl-RS"/>
        </w:rPr>
        <w:t>odredit će se detaljnijom prostorno planskom</w:t>
      </w:r>
      <w:r w:rsidRPr="004E4EDF">
        <w:rPr>
          <w:rFonts w:cs="TimesNewRoman"/>
        </w:rPr>
        <w:t xml:space="preserve"> </w:t>
      </w:r>
      <w:r w:rsidRPr="004E4EDF">
        <w:rPr>
          <w:rFonts w:cs="TimesNewRoman"/>
          <w:lang w:val="sr-Cyrl-RS"/>
        </w:rPr>
        <w:t>dokumentacijom kojom primarno treba preispitati</w:t>
      </w:r>
      <w:r w:rsidRPr="004E4EDF">
        <w:rPr>
          <w:rFonts w:cs="TimesNewRoman"/>
        </w:rPr>
        <w:t xml:space="preserve"> </w:t>
      </w:r>
      <w:r w:rsidRPr="004E4EDF">
        <w:rPr>
          <w:rFonts w:cs="TimesNewRoman"/>
          <w:lang w:val="sr-Cyrl-RS"/>
        </w:rPr>
        <w:t>potrebu i osigurati prostor za uređenje plaža i smještaj</w:t>
      </w:r>
      <w:r w:rsidRPr="004E4EDF">
        <w:rPr>
          <w:rFonts w:cs="TimesNewRoman"/>
        </w:rPr>
        <w:t xml:space="preserve"> </w:t>
      </w:r>
      <w:r w:rsidRPr="004E4EDF">
        <w:rPr>
          <w:rFonts w:cs="TimesNewRoman"/>
          <w:lang w:val="sr-Cyrl-RS"/>
        </w:rPr>
        <w:t>plovila domicilnog stanovništva.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Izuzetno se unutar lučkog područja Luke Šibenik</w:t>
      </w:r>
      <w:r w:rsidRPr="004E4EDF">
        <w:rPr>
          <w:rFonts w:cs="TimesNewRoman"/>
        </w:rPr>
        <w:t xml:space="preserve"> </w:t>
      </w:r>
      <w:r w:rsidRPr="004E4EDF">
        <w:rPr>
          <w:rFonts w:cs="TimesNewRoman"/>
          <w:lang w:val="sr-Cyrl-RS"/>
        </w:rPr>
        <w:t>omogućuje proširenje terminala trajektne luke temeljem</w:t>
      </w:r>
      <w:r w:rsidRPr="004E4EDF">
        <w:rPr>
          <w:rFonts w:cs="TimesNewRoman"/>
        </w:rPr>
        <w:t xml:space="preserve"> </w:t>
      </w:r>
      <w:r w:rsidRPr="004E4EDF">
        <w:rPr>
          <w:rFonts w:cs="TimesNewRoman"/>
          <w:lang w:val="sr-Cyrl-RS"/>
        </w:rPr>
        <w:t>stručne podloge za lokacijsku dozvolu kojom će biti</w:t>
      </w:r>
      <w:r w:rsidRPr="004E4EDF">
        <w:rPr>
          <w:rFonts w:cs="TimesNewRoman"/>
        </w:rPr>
        <w:t xml:space="preserve"> </w:t>
      </w:r>
      <w:r w:rsidRPr="004E4EDF">
        <w:rPr>
          <w:rFonts w:cs="TimesNewRoman"/>
          <w:lang w:val="sr-Cyrl-RS"/>
        </w:rPr>
        <w:t>utvrđeni detaljni uvjeti smještaja potrebnih sadržaja kao</w:t>
      </w:r>
      <w:r w:rsidRPr="004E4EDF">
        <w:rPr>
          <w:rFonts w:cs="TimesNewRoman"/>
        </w:rPr>
        <w:t xml:space="preserve"> </w:t>
      </w:r>
      <w:r w:rsidRPr="004E4EDF">
        <w:rPr>
          <w:rFonts w:cs="TimesNewRoman"/>
          <w:lang w:val="sr-Cyrl-RS"/>
        </w:rPr>
        <w:t>i uvjeti povezivanja trajektne luke na državnu mrežu</w:t>
      </w:r>
      <w:r w:rsidRPr="004E4EDF">
        <w:rPr>
          <w:rFonts w:cs="TimesNewRoman"/>
        </w:rPr>
        <w:t xml:space="preserve"> </w:t>
      </w:r>
      <w:r w:rsidRPr="004E4EDF">
        <w:rPr>
          <w:rFonts w:cs="TimesNewRoman"/>
          <w:lang w:val="sr-Cyrl-RS"/>
        </w:rPr>
        <w:t>prometnica.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Unutar akvatorija ugostiteljsko-turističkih zona</w:t>
      </w:r>
      <w:r w:rsidRPr="004E4EDF">
        <w:rPr>
          <w:rFonts w:cs="TimesNewRoman"/>
        </w:rPr>
        <w:t xml:space="preserve"> </w:t>
      </w:r>
      <w:r w:rsidRPr="004E4EDF">
        <w:rPr>
          <w:rFonts w:cs="TimesNewRoman"/>
          <w:lang w:val="sr-Cyrl-RS"/>
        </w:rPr>
        <w:t>predviđena je mogućnost smještaja građevina za prihvat</w:t>
      </w:r>
      <w:r w:rsidRPr="004E4EDF">
        <w:rPr>
          <w:rFonts w:cs="TimesNewRoman"/>
        </w:rPr>
        <w:t xml:space="preserve"> </w:t>
      </w:r>
      <w:r w:rsidRPr="004E4EDF">
        <w:rPr>
          <w:rFonts w:cs="TimesNewRoman"/>
          <w:lang w:val="sr-Cyrl-RS"/>
        </w:rPr>
        <w:t>izletničkih, rekreacijskih i športskih plovila.</w:t>
      </w:r>
      <w:r w:rsidRPr="004E4EDF">
        <w:rPr>
          <w:rFonts w:cs="TimesNewRoman"/>
        </w:rPr>
        <w:t xml:space="preserve"> </w:t>
      </w:r>
      <w:r w:rsidRPr="004E4EDF">
        <w:rPr>
          <w:rFonts w:cs="TimesNewRoman"/>
          <w:lang w:val="sr-Cyrl-RS"/>
        </w:rPr>
        <w:t>Izgradnju novih luka nautičkog turizma moguće 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ostvariti samo temeljem Studije i Programske osnove</w:t>
      </w:r>
      <w:r w:rsidRPr="004E4EDF">
        <w:rPr>
          <w:rFonts w:cs="TimesNewRoman"/>
        </w:rPr>
        <w:t xml:space="preserve"> </w:t>
      </w:r>
      <w:r w:rsidRPr="004E4EDF">
        <w:rPr>
          <w:rFonts w:cs="TimesNewRoman"/>
          <w:lang w:val="sr-Cyrl-RS"/>
        </w:rPr>
        <w:t>nautičkog turizma, čija je izrada predviđena Programom</w:t>
      </w:r>
      <w:r w:rsidRPr="004E4EDF">
        <w:rPr>
          <w:rFonts w:cs="TimesNewRoman"/>
        </w:rPr>
        <w:t xml:space="preserve"> </w:t>
      </w:r>
      <w:r w:rsidRPr="004E4EDF">
        <w:rPr>
          <w:rFonts w:cs="TimesNewRoman"/>
          <w:lang w:val="sr-Cyrl-RS"/>
        </w:rPr>
        <w:t>prostornog uređenja Republike Hrvatske, te temeljem</w:t>
      </w:r>
      <w:r w:rsidRPr="004E4EDF">
        <w:rPr>
          <w:rFonts w:cs="TimesNewRoman"/>
        </w:rPr>
        <w:t xml:space="preserve"> </w:t>
      </w:r>
      <w:r w:rsidRPr="004E4EDF">
        <w:rPr>
          <w:rFonts w:cs="TimesNewRoman"/>
          <w:lang w:val="sr-Cyrl-RS"/>
        </w:rPr>
        <w:t>Programa razvoja turizma na području Šibenskokninske</w:t>
      </w:r>
      <w:r w:rsidRPr="004E4EDF">
        <w:rPr>
          <w:rFonts w:cs="TimesNewRoman"/>
        </w:rPr>
        <w:t xml:space="preserve"> </w:t>
      </w:r>
      <w:r w:rsidRPr="004E4EDF">
        <w:rPr>
          <w:rFonts w:cs="TimesNewRoman"/>
          <w:lang w:val="sr-Cyrl-RS"/>
        </w:rPr>
        <w:t>županije.</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Ribarska luka smještena je u uvali Sv. Petar i uz</w:t>
      </w:r>
      <w:r w:rsidRPr="004E4EDF">
        <w:rPr>
          <w:rFonts w:cs="TimesNewRoman"/>
        </w:rPr>
        <w:t xml:space="preserve"> </w:t>
      </w:r>
      <w:r w:rsidRPr="004E4EDF">
        <w:rPr>
          <w:rFonts w:cs="TimesNewRoman"/>
          <w:lang w:val="sr-Cyrl-RS"/>
        </w:rPr>
        <w:t>potrebne građevine u moru za siguran privez brodova</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potrebno je osigurati prostor za smještaj i svih pratećih</w:t>
      </w:r>
      <w:r w:rsidRPr="004E4EDF">
        <w:rPr>
          <w:rFonts w:cs="TimesNewRoman"/>
        </w:rPr>
        <w:t xml:space="preserve"> </w:t>
      </w:r>
      <w:r w:rsidRPr="004E4EDF">
        <w:rPr>
          <w:rFonts w:cs="TimesNewRoman"/>
          <w:lang w:val="sr-Cyrl-RS"/>
        </w:rPr>
        <w:t>sadržaja sukladno posebnom propisu. Stručnom</w:t>
      </w:r>
      <w:r w:rsidRPr="004E4EDF">
        <w:rPr>
          <w:rFonts w:cs="TimesNewRoman"/>
        </w:rPr>
        <w:t xml:space="preserve"> </w:t>
      </w:r>
      <w:r w:rsidRPr="004E4EDF">
        <w:rPr>
          <w:rFonts w:cs="TimesNewRoman"/>
          <w:lang w:val="sr-Cyrl-RS"/>
        </w:rPr>
        <w:t>podlogom za lokacijsku dozvolu utvrdit će se vrsta i</w:t>
      </w:r>
      <w:r w:rsidRPr="004E4EDF">
        <w:rPr>
          <w:rFonts w:cs="TimesNewRoman"/>
        </w:rPr>
        <w:t xml:space="preserve"> </w:t>
      </w:r>
      <w:r w:rsidRPr="004E4EDF">
        <w:rPr>
          <w:rFonts w:cs="TimesNewRoman"/>
          <w:lang w:val="sr-Cyrl-RS"/>
        </w:rPr>
        <w:t>uvjeti smještaja sadržaja u prostoru kao i način</w:t>
      </w:r>
      <w:r w:rsidRPr="004E4EDF">
        <w:rPr>
          <w:rFonts w:cs="TimesNewRoman"/>
        </w:rPr>
        <w:t xml:space="preserve"> </w:t>
      </w:r>
      <w:r w:rsidRPr="004E4EDF">
        <w:rPr>
          <w:rFonts w:cs="TimesNewRoman"/>
          <w:lang w:val="sr-Cyrl-RS"/>
        </w:rPr>
        <w:t>povezivanja na širu prometnu mrežu (cestovnu i</w:t>
      </w:r>
      <w:r w:rsidRPr="004E4EDF">
        <w:rPr>
          <w:rFonts w:cs="TimesNewRoman"/>
        </w:rPr>
        <w:t xml:space="preserve"> </w:t>
      </w:r>
      <w:r w:rsidRPr="004E4EDF">
        <w:rPr>
          <w:rFonts w:cs="TimesNewRoman"/>
          <w:lang w:val="sr-Cyrl-RS"/>
        </w:rPr>
        <w:t>morsku).</w:t>
      </w:r>
    </w:p>
    <w:p w:rsidR="004E4EDF" w:rsidRPr="004E4EDF" w:rsidRDefault="004E4EDF" w:rsidP="00B63C2D">
      <w:pPr>
        <w:autoSpaceDE w:val="0"/>
        <w:autoSpaceDN w:val="0"/>
        <w:adjustRightInd w:val="0"/>
        <w:spacing w:after="0"/>
        <w:jc w:val="both"/>
        <w:rPr>
          <w:rFonts w:cs="TimesNewRoman"/>
          <w:lang w:val="sr-Cyrl-RS"/>
        </w:rPr>
      </w:pPr>
    </w:p>
    <w:p w:rsidR="004E4EDF" w:rsidRPr="004E4EDF" w:rsidRDefault="004E4EDF" w:rsidP="00B63C2D">
      <w:pPr>
        <w:autoSpaceDE w:val="0"/>
        <w:autoSpaceDN w:val="0"/>
        <w:adjustRightInd w:val="0"/>
        <w:spacing w:after="0"/>
        <w:jc w:val="both"/>
        <w:rPr>
          <w:rFonts w:cs="TimesNewRoman"/>
          <w:u w:val="single"/>
          <w:lang w:val="sr-Cyrl-RS"/>
        </w:rPr>
      </w:pPr>
      <w:r w:rsidRPr="004E4EDF">
        <w:rPr>
          <w:rFonts w:cs="TimesNewRoman"/>
          <w:u w:val="single"/>
          <w:lang w:val="sr-Cyrl-RS"/>
        </w:rPr>
        <w:t>Zračni promet</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Članak 112.</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lang w:val="sr-Cyrl-RS"/>
        </w:rPr>
        <w:t>U mreži zračnog prometa u skladu s koncepcijom boljeg povezivanja udaljenih otoka kao i povećanja turističke</w:t>
      </w:r>
      <w:r w:rsidRPr="004E4EDF">
        <w:rPr>
          <w:rFonts w:cs="TimesNewRoman"/>
        </w:rPr>
        <w:t xml:space="preserve"> </w:t>
      </w:r>
      <w:r w:rsidRPr="004E4EDF">
        <w:rPr>
          <w:rFonts w:cs="TimesNewRoman"/>
          <w:lang w:val="sr-Cyrl-RS"/>
        </w:rPr>
        <w:t>ponude i sigurnosti života na otocima (zdravstvene usluge, spašavanje, protupožarne aktivnosti i dr.) određena</w:t>
      </w:r>
      <w:r w:rsidRPr="004E4EDF">
        <w:rPr>
          <w:rFonts w:cs="TimesNewRoman"/>
        </w:rPr>
        <w:t xml:space="preserve"> </w:t>
      </w:r>
      <w:r w:rsidRPr="004E4EDF">
        <w:rPr>
          <w:rFonts w:cs="TimesNewRoman"/>
          <w:lang w:val="sr-Cyrl-RS"/>
        </w:rPr>
        <w:t>je načelna lokacija za helidrome na otocima Zlarinu, Kapriju i Žirju.</w:t>
      </w:r>
    </w:p>
    <w:p w:rsidR="004E4EDF" w:rsidRPr="004E4EDF" w:rsidRDefault="004E4EDF" w:rsidP="00B63C2D">
      <w:pPr>
        <w:autoSpaceDE w:val="0"/>
        <w:autoSpaceDN w:val="0"/>
        <w:adjustRightInd w:val="0"/>
        <w:spacing w:after="0"/>
        <w:jc w:val="both"/>
        <w:rPr>
          <w:color w:val="000000"/>
        </w:rPr>
      </w:pPr>
      <w:r w:rsidRPr="004E4EDF">
        <w:rPr>
          <w:color w:val="000000"/>
        </w:rPr>
        <w:t xml:space="preserve">Osim ovih lokacija </w:t>
      </w:r>
      <w:proofErr w:type="spellStart"/>
      <w:r w:rsidRPr="004E4EDF">
        <w:rPr>
          <w:color w:val="000000"/>
        </w:rPr>
        <w:t>helidroma</w:t>
      </w:r>
      <w:proofErr w:type="spellEnd"/>
      <w:r w:rsidRPr="004E4EDF">
        <w:rPr>
          <w:color w:val="000000"/>
        </w:rPr>
        <w:t xml:space="preserve"> na području Grada za potrebe turističkog gospodarstva i ostale civilne potrebe mogu se odrediti i druge lokacije za </w:t>
      </w:r>
      <w:proofErr w:type="spellStart"/>
      <w:r w:rsidRPr="004E4EDF">
        <w:rPr>
          <w:color w:val="000000"/>
        </w:rPr>
        <w:t>helidrome</w:t>
      </w:r>
      <w:proofErr w:type="spellEnd"/>
      <w:r w:rsidRPr="004E4EDF">
        <w:rPr>
          <w:color w:val="000000"/>
        </w:rPr>
        <w:t xml:space="preserve"> sukladno posebnom propisu.</w:t>
      </w:r>
    </w:p>
    <w:p w:rsidR="004E4EDF" w:rsidRPr="004E4EDF" w:rsidRDefault="004E4EDF" w:rsidP="00B63C2D">
      <w:pPr>
        <w:autoSpaceDE w:val="0"/>
        <w:autoSpaceDN w:val="0"/>
        <w:adjustRightInd w:val="0"/>
        <w:spacing w:after="0"/>
        <w:jc w:val="both"/>
        <w:rPr>
          <w:color w:val="000000"/>
        </w:rPr>
      </w:pPr>
      <w:r w:rsidRPr="004E4EDF">
        <w:rPr>
          <w:color w:val="000000"/>
        </w:rPr>
        <w:t>U neposrednoj blizini područja Grada postoje zračni putovi koji služe za prelet zrakoplova koji vrše prelet preko teritorija RH kao i zrakoplova koji polijeću ili slijeću u ZL Zadar odnosno Split. Minimalne visine leta na ovim zračnim putovima su 1500 m iznad morske razine.</w:t>
      </w:r>
    </w:p>
    <w:p w:rsidR="004E4EDF" w:rsidRPr="004E4EDF" w:rsidRDefault="004E4EDF" w:rsidP="00B63C2D">
      <w:pPr>
        <w:autoSpaceDE w:val="0"/>
        <w:autoSpaceDN w:val="0"/>
        <w:adjustRightInd w:val="0"/>
        <w:spacing w:after="0"/>
        <w:jc w:val="both"/>
        <w:rPr>
          <w:color w:val="000000"/>
        </w:rPr>
      </w:pPr>
    </w:p>
    <w:p w:rsidR="008C74CA" w:rsidRDefault="008C74CA">
      <w:pPr>
        <w:rPr>
          <w:color w:val="000000"/>
        </w:rPr>
        <w:sectPr w:rsidR="008C74CA" w:rsidSect="007F6EF9">
          <w:pgSz w:w="11906" w:h="16838"/>
          <w:pgMar w:top="1714" w:right="1417" w:bottom="1417" w:left="1417" w:header="708" w:footer="708" w:gutter="0"/>
          <w:cols w:space="708"/>
          <w:docGrid w:linePitch="360"/>
        </w:sectPr>
      </w:pPr>
    </w:p>
    <w:p w:rsidR="008C74CA" w:rsidRDefault="008C74CA">
      <w:pPr>
        <w:rPr>
          <w:color w:val="000000"/>
        </w:rPr>
      </w:pPr>
      <w:r>
        <w:rPr>
          <w:noProof/>
          <w:color w:val="000000"/>
        </w:rPr>
        <w:drawing>
          <wp:inline distT="0" distB="0" distL="0" distR="0">
            <wp:extent cx="8884920" cy="5166995"/>
            <wp:effectExtent l="0" t="0" r="0" b="0"/>
            <wp:docPr id="4" name="Picture 4" descr="D:\POSAO\URBANEX\Šibenik promet\PP dokumentacija\PPUG Sibenik ID4_1.Koristenje i namjena prostora_sustav prom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AO\URBANEX\Šibenik promet\PP dokumentacija\PPUG Sibenik ID4_1.Koristenje i namjena prostora_sustav promet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4920" cy="5166995"/>
                    </a:xfrm>
                    <a:prstGeom prst="rect">
                      <a:avLst/>
                    </a:prstGeom>
                    <a:noFill/>
                    <a:ln>
                      <a:noFill/>
                    </a:ln>
                  </pic:spPr>
                </pic:pic>
              </a:graphicData>
            </a:graphic>
          </wp:inline>
        </w:drawing>
      </w:r>
    </w:p>
    <w:p w:rsidR="00315D69" w:rsidRPr="008D5000" w:rsidRDefault="00E850C4">
      <w:pPr>
        <w:rPr>
          <w:i/>
          <w:color w:val="000000"/>
        </w:rPr>
        <w:sectPr w:rsidR="00315D69" w:rsidRPr="008D5000" w:rsidSect="008C74CA">
          <w:pgSz w:w="16838" w:h="11906" w:orient="landscape"/>
          <w:pgMar w:top="1417" w:right="1417" w:bottom="1417" w:left="1417" w:header="708" w:footer="708" w:gutter="0"/>
          <w:cols w:space="708"/>
          <w:docGrid w:linePitch="360"/>
        </w:sectPr>
      </w:pPr>
      <w:r>
        <w:rPr>
          <w:i/>
          <w:color w:val="000000"/>
        </w:rPr>
        <w:t>Sl. 4</w:t>
      </w:r>
      <w:r w:rsidR="00315D69" w:rsidRPr="008D5000">
        <w:rPr>
          <w:i/>
          <w:color w:val="000000"/>
        </w:rPr>
        <w:t>. Karta korištenja i namjene prostora sa sustavom prometa, IV. izmjene i dopune PPU Grada Šibenika</w:t>
      </w:r>
    </w:p>
    <w:p w:rsidR="00277001" w:rsidRPr="00206991" w:rsidRDefault="004E4EDF" w:rsidP="00B63C2D">
      <w:pPr>
        <w:autoSpaceDE w:val="0"/>
        <w:autoSpaceDN w:val="0"/>
        <w:adjustRightInd w:val="0"/>
        <w:spacing w:after="0"/>
        <w:jc w:val="both"/>
        <w:rPr>
          <w:color w:val="000000"/>
        </w:rPr>
      </w:pPr>
      <w:r>
        <w:rPr>
          <w:color w:val="000000"/>
        </w:rPr>
        <w:t>U generalnom urbanističkom planu Šibenika, detaljnije su propisane aktivnosti povezane uz prometne zahvate:</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Članak 32c.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U akvatoriju unutar obuhvata Plana osiguravaju se prostorni uvjeti za organizaciju međudržavnog i unutrašnjeg pomorskog prometa, kroz uspostavu plovnih putova, brodskih linija i mreže luka: </w:t>
      </w:r>
    </w:p>
    <w:p w:rsidR="004E4EDF" w:rsidRPr="004E4EDF" w:rsidRDefault="004E4EDF" w:rsidP="00B63C2D">
      <w:pPr>
        <w:autoSpaceDE w:val="0"/>
        <w:autoSpaceDN w:val="0"/>
        <w:adjustRightInd w:val="0"/>
        <w:spacing w:after="0"/>
        <w:jc w:val="both"/>
      </w:pPr>
      <w:r w:rsidRPr="004E4EDF">
        <w:t>a) međunarodni plovni put;</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Šibenik – plovni put Rijeka-Mediteran,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Šibenik-Zadar-Ancona, odnosno Šibenik-Ancona,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b) unutarnji plovni putovi županijskog značaja: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Šibenik-Zlarin-Prvić Luka-Prvić Šepurine-Obonjan-Kaprije-Žirje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Šibenik-Kornati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c) morske luke za otvorene javni promet;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međunarodnog značaja - Šibenik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d) morske luke za otvorene javni promet;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županijskog značaja: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postojeće: gradska luka Šibenik,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planirane (u akvatoriju naselja): Zablaće.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lokalnog značaja: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postojeće: Zablaće. </w:t>
      </w:r>
    </w:p>
    <w:p w:rsidR="004E4EDF" w:rsidRPr="004E4EDF" w:rsidRDefault="004E4EDF" w:rsidP="00B63C2D">
      <w:pPr>
        <w:autoSpaceDE w:val="0"/>
        <w:autoSpaceDN w:val="0"/>
        <w:adjustRightInd w:val="0"/>
        <w:spacing w:after="0"/>
        <w:jc w:val="both"/>
      </w:pPr>
      <w:r w:rsidRPr="004E4EDF">
        <w:t xml:space="preserve">- planirane (u </w:t>
      </w:r>
      <w:proofErr w:type="spellStart"/>
      <w:r w:rsidRPr="004E4EDF">
        <w:t>akvatoriju</w:t>
      </w:r>
      <w:proofErr w:type="spellEnd"/>
      <w:r w:rsidRPr="004E4EDF">
        <w:t xml:space="preserve"> naselja): </w:t>
      </w:r>
      <w:proofErr w:type="spellStart"/>
      <w:r w:rsidRPr="004E4EDF">
        <w:t>Mandalina</w:t>
      </w:r>
      <w:proofErr w:type="spellEnd"/>
      <w:r w:rsidRPr="004E4EDF">
        <w:t xml:space="preserve"> i Šibenik-</w:t>
      </w:r>
      <w:proofErr w:type="spellStart"/>
      <w:r w:rsidRPr="004E4EDF">
        <w:t>Pekovac</w:t>
      </w:r>
      <w:proofErr w:type="spellEnd"/>
      <w:r w:rsidRPr="004E4EDF">
        <w:t>.</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e) morske luke posebne namjene: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s="Times New Roman"/>
          <w:color w:val="auto"/>
          <w:sz w:val="22"/>
          <w:szCs w:val="22"/>
        </w:rPr>
        <w:t xml:space="preserve">- </w:t>
      </w:r>
      <w:r w:rsidRPr="004E4EDF">
        <w:rPr>
          <w:rFonts w:asciiTheme="minorHAnsi" w:hAnsiTheme="minorHAnsi"/>
          <w:color w:val="auto"/>
          <w:sz w:val="22"/>
          <w:szCs w:val="22"/>
        </w:rPr>
        <w:t xml:space="preserve">luke nautičkog turizma u akvatoriju naselja Šibenik (Solaris, Mandalina-Kulina, Crnica) (oznaka LN), </w:t>
      </w:r>
    </w:p>
    <w:p w:rsidR="004E4EDF" w:rsidRPr="004E4EDF" w:rsidRDefault="004E4EDF" w:rsidP="00B63C2D">
      <w:pPr>
        <w:autoSpaceDE w:val="0"/>
        <w:autoSpaceDN w:val="0"/>
        <w:adjustRightInd w:val="0"/>
        <w:spacing w:after="0"/>
        <w:jc w:val="both"/>
        <w:rPr>
          <w:rFonts w:cs="TimesNewRoman"/>
          <w:lang w:val="sr-Cyrl-RS"/>
        </w:rPr>
      </w:pPr>
      <w:r w:rsidRPr="004E4EDF">
        <w:rPr>
          <w:rFonts w:cs="TimesNewRoman"/>
          <w:noProof/>
        </w:rPr>
        <w:drawing>
          <wp:inline distT="0" distB="0" distL="0" distR="0" wp14:anchorId="59ABE344" wp14:editId="323A97F2">
            <wp:extent cx="5760720" cy="241271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12711"/>
                    </a:xfrm>
                    <a:prstGeom prst="rect">
                      <a:avLst/>
                    </a:prstGeom>
                    <a:noFill/>
                    <a:ln>
                      <a:noFill/>
                    </a:ln>
                  </pic:spPr>
                </pic:pic>
              </a:graphicData>
            </a:graphic>
          </wp:inline>
        </w:drawing>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olor w:val="auto"/>
          <w:sz w:val="22"/>
          <w:szCs w:val="22"/>
        </w:rPr>
        <w:t xml:space="preserve">- sportske luke (oznaka LS) u akvatoriju naselja (luka koja služi za vez brodica upisanih u hrvatski očevidnik brodica s namjenom šport i razonoda, a koje brodice su u vlasništvu članova udruge ili same udruge koja ima koncesiju za luku; športskim lukama nije dozvoljeno mijenjati namjenu niti ih koristiti kao luke nautičkog turizma.): </w:t>
      </w:r>
    </w:p>
    <w:p w:rsidR="004E4EDF" w:rsidRPr="004E4EDF" w:rsidRDefault="004E4EDF" w:rsidP="00B63C2D">
      <w:pPr>
        <w:pStyle w:val="Default"/>
        <w:spacing w:after="16"/>
        <w:jc w:val="both"/>
        <w:rPr>
          <w:rFonts w:asciiTheme="minorHAnsi" w:hAnsiTheme="minorHAnsi"/>
          <w:color w:val="auto"/>
          <w:sz w:val="22"/>
          <w:szCs w:val="22"/>
        </w:rPr>
      </w:pPr>
      <w:r w:rsidRPr="004E4EDF">
        <w:rPr>
          <w:rFonts w:asciiTheme="minorHAnsi" w:hAnsiTheme="minorHAnsi" w:cs="Times New Roman"/>
          <w:color w:val="auto"/>
          <w:sz w:val="22"/>
          <w:szCs w:val="22"/>
        </w:rPr>
        <w:t xml:space="preserve">- </w:t>
      </w:r>
      <w:r w:rsidRPr="004E4EDF">
        <w:rPr>
          <w:rFonts w:asciiTheme="minorHAnsi" w:hAnsiTheme="minorHAnsi"/>
          <w:color w:val="auto"/>
          <w:sz w:val="22"/>
          <w:szCs w:val="22"/>
        </w:rPr>
        <w:t xml:space="preserve">Zablaće - Uvala Zablaće, </w:t>
      </w:r>
    </w:p>
    <w:p w:rsidR="004E4EDF" w:rsidRPr="004E4EDF" w:rsidRDefault="004E4EDF" w:rsidP="00B63C2D">
      <w:pPr>
        <w:pStyle w:val="Default"/>
        <w:jc w:val="both"/>
        <w:rPr>
          <w:rFonts w:asciiTheme="minorHAnsi" w:hAnsiTheme="minorHAnsi"/>
          <w:color w:val="auto"/>
          <w:sz w:val="22"/>
          <w:szCs w:val="22"/>
        </w:rPr>
      </w:pPr>
      <w:r w:rsidRPr="004E4EDF">
        <w:rPr>
          <w:rFonts w:asciiTheme="minorHAnsi" w:hAnsiTheme="minorHAnsi" w:cs="Times New Roman"/>
          <w:color w:val="auto"/>
          <w:sz w:val="22"/>
          <w:szCs w:val="22"/>
        </w:rPr>
        <w:t xml:space="preserve">- </w:t>
      </w:r>
      <w:r w:rsidRPr="004E4EDF">
        <w:rPr>
          <w:rFonts w:asciiTheme="minorHAnsi" w:hAnsiTheme="minorHAnsi"/>
          <w:color w:val="auto"/>
          <w:sz w:val="22"/>
          <w:szCs w:val="22"/>
        </w:rPr>
        <w:t xml:space="preserve">Šibenik -Dolac i Pekovac. </w:t>
      </w:r>
    </w:p>
    <w:p w:rsidR="004E4EDF" w:rsidRDefault="004E4EDF" w:rsidP="00B63C2D">
      <w:pPr>
        <w:autoSpaceDE w:val="0"/>
        <w:autoSpaceDN w:val="0"/>
        <w:adjustRightInd w:val="0"/>
        <w:spacing w:after="0"/>
        <w:jc w:val="both"/>
        <w:rPr>
          <w:rFonts w:cs="TimesNewRoman"/>
          <w:lang w:val="sr-Cyrl-RS"/>
        </w:rPr>
      </w:pPr>
    </w:p>
    <w:p w:rsidR="008C74CA" w:rsidRPr="008C74CA" w:rsidRDefault="008C74CA" w:rsidP="00B63C2D">
      <w:pPr>
        <w:autoSpaceDE w:val="0"/>
        <w:autoSpaceDN w:val="0"/>
        <w:adjustRightInd w:val="0"/>
        <w:spacing w:after="0"/>
        <w:jc w:val="both"/>
        <w:rPr>
          <w:rFonts w:cs="TimesNewRoman"/>
        </w:rPr>
      </w:pPr>
      <w:r>
        <w:rPr>
          <w:rFonts w:cs="TimesNewRoman"/>
        </w:rPr>
        <w:t xml:space="preserve">Trenutno je u procesu izrada VIII. Izmjena i dopuna Generalnog urbanističkog plana Šibenika za kojeg je planirana javna rasprava tijekom travnja 2016. godine. </w:t>
      </w:r>
    </w:p>
    <w:p w:rsidR="004E4EDF" w:rsidRPr="004E4EDF" w:rsidRDefault="004E4EDF" w:rsidP="00B63C2D">
      <w:pPr>
        <w:autoSpaceDE w:val="0"/>
        <w:autoSpaceDN w:val="0"/>
        <w:adjustRightInd w:val="0"/>
        <w:spacing w:after="0"/>
        <w:jc w:val="both"/>
        <w:rPr>
          <w:rFonts w:cs="TimesNewRoman"/>
          <w:lang w:val="sr-Cyrl-RS"/>
        </w:rPr>
      </w:pPr>
    </w:p>
    <w:p w:rsidR="00AB0325" w:rsidRPr="004E4EDF" w:rsidRDefault="00AB0325" w:rsidP="00B63C2D">
      <w:pPr>
        <w:jc w:val="both"/>
      </w:pPr>
    </w:p>
    <w:sectPr w:rsidR="00AB0325" w:rsidRPr="004E4EDF" w:rsidSect="008C74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033" w:rsidRDefault="00A12033" w:rsidP="007F66F2">
      <w:pPr>
        <w:spacing w:after="0" w:line="240" w:lineRule="auto"/>
      </w:pPr>
      <w:r>
        <w:separator/>
      </w:r>
    </w:p>
  </w:endnote>
  <w:endnote w:type="continuationSeparator" w:id="0">
    <w:p w:rsidR="00A12033" w:rsidRDefault="00A12033" w:rsidP="007F6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7" w:usb1="08070000" w:usb2="00000010" w:usb3="00000000" w:csb0="00020003"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EE"/>
    <w:family w:val="auto"/>
    <w:notTrueType/>
    <w:pitch w:val="default"/>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033" w:rsidRDefault="00A12033" w:rsidP="007F66F2">
      <w:pPr>
        <w:spacing w:after="0" w:line="240" w:lineRule="auto"/>
      </w:pPr>
      <w:r>
        <w:separator/>
      </w:r>
    </w:p>
  </w:footnote>
  <w:footnote w:type="continuationSeparator" w:id="0">
    <w:p w:rsidR="00A12033" w:rsidRDefault="00A12033" w:rsidP="007F66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6F2" w:rsidRPr="007F66F2" w:rsidRDefault="007F66F2" w:rsidP="007F66F2">
    <w:pPr>
      <w:pStyle w:val="Zaglavlje"/>
      <w:rPr>
        <w:lang w:val="x-none"/>
      </w:rPr>
    </w:pPr>
    <w:r w:rsidRPr="007F66F2">
      <w:rPr>
        <w:noProof/>
      </w:rPr>
      <w:drawing>
        <wp:anchor distT="0" distB="0" distL="114300" distR="114300" simplePos="0" relativeHeight="251660288" behindDoc="0" locked="0" layoutInCell="1" allowOverlap="1" wp14:anchorId="0F781E90" wp14:editId="0E393A14">
          <wp:simplePos x="0" y="0"/>
          <wp:positionH relativeFrom="column">
            <wp:posOffset>1576705</wp:posOffset>
          </wp:positionH>
          <wp:positionV relativeFrom="paragraph">
            <wp:posOffset>-315595</wp:posOffset>
          </wp:positionV>
          <wp:extent cx="1438275" cy="771525"/>
          <wp:effectExtent l="0" t="0" r="9525" b="9525"/>
          <wp:wrapNone/>
          <wp:docPr id="9" name="Slika 9" descr="opp_logo_horizontalni_bijela_poza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p_logo_horizontalni_bijela_pozad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6F2">
      <w:rPr>
        <w:noProof/>
      </w:rPr>
      <mc:AlternateContent>
        <mc:Choice Requires="wps">
          <w:drawing>
            <wp:anchor distT="45720" distB="45720" distL="114300" distR="114300" simplePos="0" relativeHeight="251662336" behindDoc="1" locked="0" layoutInCell="1" allowOverlap="1" wp14:anchorId="4475DAD8" wp14:editId="7859788B">
              <wp:simplePos x="0" y="0"/>
              <wp:positionH relativeFrom="column">
                <wp:posOffset>4510405</wp:posOffset>
              </wp:positionH>
              <wp:positionV relativeFrom="paragraph">
                <wp:posOffset>-316229</wp:posOffset>
              </wp:positionV>
              <wp:extent cx="2047875" cy="952500"/>
              <wp:effectExtent l="0" t="0" r="9525" b="0"/>
              <wp:wrapNone/>
              <wp:docPr id="7"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952500"/>
                      </a:xfrm>
                      <a:prstGeom prst="rect">
                        <a:avLst/>
                      </a:prstGeom>
                      <a:solidFill>
                        <a:srgbClr val="FFFFFF"/>
                      </a:solidFill>
                      <a:ln w="9525">
                        <a:noFill/>
                        <a:miter lim="800000"/>
                        <a:headEnd/>
                        <a:tailEnd/>
                      </a:ln>
                    </wps:spPr>
                    <wps:txbx>
                      <w:txbxContent>
                        <w:p w:rsidR="007F66F2" w:rsidRPr="000A19A4" w:rsidRDefault="007F66F2" w:rsidP="007F66F2">
                          <w:pPr>
                            <w:pStyle w:val="Bezproreda"/>
                            <w:rPr>
                              <w:rFonts w:ascii="Times New Roman" w:hAnsi="Times New Roman" w:cs="Times New Roman"/>
                              <w:color w:val="0F243E" w:themeColor="text2" w:themeShade="80"/>
                              <w:sz w:val="20"/>
                              <w:szCs w:val="20"/>
                            </w:rPr>
                          </w:pPr>
                          <w:r w:rsidRPr="000A19A4">
                            <w:rPr>
                              <w:rFonts w:ascii="Times New Roman" w:hAnsi="Times New Roman" w:cs="Times New Roman"/>
                              <w:color w:val="0F243E" w:themeColor="text2" w:themeShade="80"/>
                              <w:sz w:val="20"/>
                              <w:szCs w:val="20"/>
                            </w:rPr>
                            <w:t>Ulaganje u budućnost</w:t>
                          </w:r>
                        </w:p>
                        <w:p w:rsidR="007F66F2" w:rsidRPr="000A19A4" w:rsidRDefault="007F66F2" w:rsidP="007F66F2">
                          <w:pPr>
                            <w:pStyle w:val="Bezproreda"/>
                            <w:rPr>
                              <w:rFonts w:ascii="Times New Roman" w:hAnsi="Times New Roman" w:cs="Times New Roman"/>
                              <w:color w:val="0F243E" w:themeColor="text2" w:themeShade="80"/>
                              <w:sz w:val="20"/>
                              <w:szCs w:val="20"/>
                            </w:rPr>
                          </w:pPr>
                          <w:r w:rsidRPr="000A19A4">
                            <w:rPr>
                              <w:rFonts w:ascii="Times New Roman" w:hAnsi="Times New Roman" w:cs="Times New Roman"/>
                              <w:color w:val="0F243E" w:themeColor="text2" w:themeShade="80"/>
                              <w:sz w:val="20"/>
                              <w:szCs w:val="20"/>
                            </w:rPr>
                            <w:t>Projekt je sufinancirala Europska unija iz Europskog fonda za regionalni razvoj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7" o:spid="_x0000_s1026" type="#_x0000_t202" style="position:absolute;margin-left:355.15pt;margin-top:-24.9pt;width:161.25pt;height: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" stroked="f">
              <v:textbox>
                <w:txbxContent>
                  <w:p w:rsidR="007F66F2" w:rsidRPr="000A19A4" w:rsidRDefault="007F66F2" w:rsidP="007F66F2">
                    <w:pPr>
                      <w:pStyle w:val="Bezproreda"/>
                      <w:rPr>
                        <w:rFonts w:ascii="Times New Roman" w:hAnsi="Times New Roman" w:cs="Times New Roman"/>
                        <w:color w:val="0F243E" w:themeColor="text2" w:themeShade="80"/>
                        <w:sz w:val="20"/>
                        <w:szCs w:val="20"/>
                      </w:rPr>
                    </w:pPr>
                    <w:r w:rsidRPr="000A19A4">
                      <w:rPr>
                        <w:rFonts w:ascii="Times New Roman" w:hAnsi="Times New Roman" w:cs="Times New Roman"/>
                        <w:color w:val="0F243E" w:themeColor="text2" w:themeShade="80"/>
                        <w:sz w:val="20"/>
                        <w:szCs w:val="20"/>
                      </w:rPr>
                      <w:t>Ulaganje u budućnost</w:t>
                    </w:r>
                  </w:p>
                  <w:p w:rsidR="007F66F2" w:rsidRPr="000A19A4" w:rsidRDefault="007F66F2" w:rsidP="007F66F2">
                    <w:pPr>
                      <w:pStyle w:val="Bezproreda"/>
                      <w:rPr>
                        <w:rFonts w:ascii="Times New Roman" w:hAnsi="Times New Roman" w:cs="Times New Roman"/>
                        <w:color w:val="0F243E" w:themeColor="text2" w:themeShade="80"/>
                        <w:sz w:val="20"/>
                        <w:szCs w:val="20"/>
                      </w:rPr>
                    </w:pPr>
                    <w:r w:rsidRPr="000A19A4">
                      <w:rPr>
                        <w:rFonts w:ascii="Times New Roman" w:hAnsi="Times New Roman" w:cs="Times New Roman"/>
                        <w:color w:val="0F243E" w:themeColor="text2" w:themeShade="80"/>
                        <w:sz w:val="20"/>
                        <w:szCs w:val="20"/>
                      </w:rPr>
                      <w:t>Projekt je sufinancirala Europska unija iz Europskog fonda za regionalni razvoj</w:t>
                    </w:r>
                  </w:p>
                </w:txbxContent>
              </v:textbox>
            </v:shape>
          </w:pict>
        </mc:Fallback>
      </mc:AlternateContent>
    </w:r>
    <w:r w:rsidRPr="007F66F2">
      <w:rPr>
        <w:noProof/>
      </w:rPr>
      <w:drawing>
        <wp:anchor distT="0" distB="0" distL="114300" distR="114300" simplePos="0" relativeHeight="251659264" behindDoc="0" locked="0" layoutInCell="1" allowOverlap="1" wp14:anchorId="1B7251CD" wp14:editId="0BB8EF21">
          <wp:simplePos x="0" y="0"/>
          <wp:positionH relativeFrom="column">
            <wp:posOffset>-257175</wp:posOffset>
          </wp:positionH>
          <wp:positionV relativeFrom="paragraph">
            <wp:posOffset>-267970</wp:posOffset>
          </wp:positionV>
          <wp:extent cx="1262380" cy="856615"/>
          <wp:effectExtent l="0" t="0" r="0" b="635"/>
          <wp:wrapNone/>
          <wp:docPr id="8" name="Slika 8" descr="C:\Users\korisnik\Desktop\1402490058_438_mala_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C:\Users\korisnik\Desktop\1402490058_438_mala_si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238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66F2">
      <w:rPr>
        <w:noProof/>
      </w:rPr>
      <w:drawing>
        <wp:anchor distT="0" distB="0" distL="114300" distR="114300" simplePos="0" relativeHeight="251661312" behindDoc="0" locked="0" layoutInCell="1" allowOverlap="1" wp14:anchorId="50BA8DAB" wp14:editId="1FD9BA4E">
          <wp:simplePos x="0" y="0"/>
          <wp:positionH relativeFrom="column">
            <wp:posOffset>3491865</wp:posOffset>
          </wp:positionH>
          <wp:positionV relativeFrom="paragraph">
            <wp:posOffset>-315595</wp:posOffset>
          </wp:positionV>
          <wp:extent cx="1015365" cy="681990"/>
          <wp:effectExtent l="0" t="0" r="0" b="381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5365"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6F2" w:rsidRPr="007F66F2" w:rsidRDefault="007F66F2" w:rsidP="007F66F2">
    <w:pPr>
      <w:pStyle w:val="Zaglavlje"/>
    </w:pPr>
    <w:r w:rsidRPr="007F66F2">
      <w:rPr>
        <w:noProof/>
      </w:rPr>
      <mc:AlternateContent>
        <mc:Choice Requires="wps">
          <w:drawing>
            <wp:anchor distT="45720" distB="45720" distL="114300" distR="114300" simplePos="0" relativeHeight="251663360" behindDoc="1" locked="0" layoutInCell="1" allowOverlap="1" wp14:anchorId="7ECD0C5D" wp14:editId="1B60374F">
              <wp:simplePos x="0" y="0"/>
              <wp:positionH relativeFrom="column">
                <wp:posOffset>3405505</wp:posOffset>
              </wp:positionH>
              <wp:positionV relativeFrom="paragraph">
                <wp:posOffset>207645</wp:posOffset>
              </wp:positionV>
              <wp:extent cx="1152525" cy="257175"/>
              <wp:effectExtent l="0" t="0" r="9525" b="9525"/>
              <wp:wrapNone/>
              <wp:docPr id="10" name="Tekstni okvir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7175"/>
                      </a:xfrm>
                      <a:prstGeom prst="rect">
                        <a:avLst/>
                      </a:prstGeom>
                      <a:solidFill>
                        <a:srgbClr val="FFFFFF"/>
                      </a:solidFill>
                      <a:ln w="9525">
                        <a:noFill/>
                        <a:miter lim="800000"/>
                        <a:headEnd/>
                        <a:tailEnd/>
                      </a:ln>
                    </wps:spPr>
                    <wps:txbx>
                      <w:txbxContent>
                        <w:p w:rsidR="007F66F2" w:rsidRPr="00BA352F" w:rsidRDefault="007F66F2" w:rsidP="007F66F2">
                          <w:pPr>
                            <w:pStyle w:val="Bezproreda"/>
                            <w:rPr>
                              <w:rFonts w:ascii="Times New Roman" w:hAnsi="Times New Roman" w:cs="Times New Roman"/>
                              <w:b/>
                              <w:color w:val="0F243E" w:themeColor="text2" w:themeShade="80"/>
                              <w:sz w:val="20"/>
                              <w:szCs w:val="20"/>
                            </w:rPr>
                          </w:pPr>
                          <w:r w:rsidRPr="00BA352F">
                            <w:rPr>
                              <w:rFonts w:ascii="Times New Roman" w:hAnsi="Times New Roman" w:cs="Times New Roman"/>
                              <w:b/>
                              <w:color w:val="0F243E" w:themeColor="text2" w:themeShade="80"/>
                              <w:sz w:val="20"/>
                              <w:szCs w:val="20"/>
                            </w:rPr>
                            <w:t xml:space="preserve">Europska </w:t>
                          </w:r>
                          <w:r w:rsidRPr="00557A20">
                            <w:rPr>
                              <w:rFonts w:ascii="Times New Roman" w:hAnsi="Times New Roman" w:cs="Times New Roman"/>
                              <w:b/>
                              <w:i/>
                              <w:color w:val="0F243E" w:themeColor="text2" w:themeShade="80"/>
                              <w:sz w:val="20"/>
                              <w:szCs w:val="20"/>
                            </w:rPr>
                            <w:t>unija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ni okvir 10" o:spid="_x0000_s1027" type="#_x0000_t202" style="position:absolute;margin-left:268.15pt;margin-top:16.35pt;width:90.75pt;height:20.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" stroked="f">
              <v:textbox>
                <w:txbxContent>
                  <w:p w:rsidR="007F66F2" w:rsidRPr="00BA352F" w:rsidRDefault="007F66F2" w:rsidP="007F66F2">
                    <w:pPr>
                      <w:pStyle w:val="Bezproreda"/>
                      <w:rPr>
                        <w:rFonts w:ascii="Times New Roman" w:hAnsi="Times New Roman" w:cs="Times New Roman"/>
                        <w:b/>
                        <w:color w:val="0F243E" w:themeColor="text2" w:themeShade="80"/>
                        <w:sz w:val="20"/>
                        <w:szCs w:val="20"/>
                      </w:rPr>
                    </w:pPr>
                    <w:r w:rsidRPr="00BA352F">
                      <w:rPr>
                        <w:rFonts w:ascii="Times New Roman" w:hAnsi="Times New Roman" w:cs="Times New Roman"/>
                        <w:b/>
                        <w:color w:val="0F243E" w:themeColor="text2" w:themeShade="80"/>
                        <w:sz w:val="20"/>
                        <w:szCs w:val="20"/>
                      </w:rPr>
                      <w:t xml:space="preserve">Europska </w:t>
                    </w:r>
                    <w:r w:rsidRPr="00557A20">
                      <w:rPr>
                        <w:rFonts w:ascii="Times New Roman" w:hAnsi="Times New Roman" w:cs="Times New Roman"/>
                        <w:b/>
                        <w:i/>
                        <w:color w:val="0F243E" w:themeColor="text2" w:themeShade="80"/>
                        <w:sz w:val="20"/>
                        <w:szCs w:val="20"/>
                      </w:rPr>
                      <w:t>unija</w:t>
                    </w:r>
                  </w:p>
                </w:txbxContent>
              </v:textbox>
            </v:shape>
          </w:pict>
        </mc:Fallback>
      </mc:AlternateContent>
    </w:r>
  </w:p>
  <w:p w:rsidR="007F66F2" w:rsidRDefault="007F66F2">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8369D"/>
    <w:multiLevelType w:val="singleLevel"/>
    <w:tmpl w:val="F2A8A258"/>
    <w:lvl w:ilvl="0">
      <w:numFmt w:val="bullet"/>
      <w:lvlText w:val=""/>
      <w:lvlJc w:val="left"/>
      <w:pPr>
        <w:tabs>
          <w:tab w:val="num" w:pos="720"/>
        </w:tabs>
        <w:ind w:left="720" w:hanging="720"/>
      </w:pPr>
      <w:rPr>
        <w:rFonts w:ascii="Symbol" w:hAnsi="Symbol" w:hint="default"/>
      </w:rPr>
    </w:lvl>
  </w:abstractNum>
  <w:abstractNum w:abstractNumId="1">
    <w:nsid w:val="1574321B"/>
    <w:multiLevelType w:val="hybridMultilevel"/>
    <w:tmpl w:val="D7D49E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BEF6743"/>
    <w:multiLevelType w:val="hybridMultilevel"/>
    <w:tmpl w:val="482063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2FC5AAA"/>
    <w:multiLevelType w:val="hybridMultilevel"/>
    <w:tmpl w:val="5002C4EA"/>
    <w:lvl w:ilvl="0" w:tplc="176C0654">
      <w:start w:val="1"/>
      <w:numFmt w:val="upperLetter"/>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
    <w:nsid w:val="266534E0"/>
    <w:multiLevelType w:val="hybridMultilevel"/>
    <w:tmpl w:val="4AFAB9D8"/>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
    <w:nsid w:val="5B284A9C"/>
    <w:multiLevelType w:val="hybridMultilevel"/>
    <w:tmpl w:val="291A3080"/>
    <w:lvl w:ilvl="0" w:tplc="176C0654">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7E0441D"/>
    <w:multiLevelType w:val="hybridMultilevel"/>
    <w:tmpl w:val="8660B8DC"/>
    <w:lvl w:ilvl="0" w:tplc="6E5C6294">
      <w:start w:val="48"/>
      <w:numFmt w:val="bullet"/>
      <w:lvlText w:val=""/>
      <w:lvlJc w:val="left"/>
      <w:pPr>
        <w:tabs>
          <w:tab w:val="num" w:pos="717"/>
        </w:tabs>
        <w:ind w:left="717" w:hanging="357"/>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7">
    <w:nsid w:val="78E37B7B"/>
    <w:multiLevelType w:val="hybridMultilevel"/>
    <w:tmpl w:val="BF803D56"/>
    <w:lvl w:ilvl="0" w:tplc="041A0009">
      <w:start w:val="1"/>
      <w:numFmt w:val="bullet"/>
      <w:lvlText w:val=""/>
      <w:lvlJc w:val="left"/>
      <w:pPr>
        <w:ind w:left="1353"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9F5"/>
    <w:rsid w:val="000D266D"/>
    <w:rsid w:val="00105A77"/>
    <w:rsid w:val="00126E8D"/>
    <w:rsid w:val="00196260"/>
    <w:rsid w:val="002060D5"/>
    <w:rsid w:val="00206991"/>
    <w:rsid w:val="00235B17"/>
    <w:rsid w:val="00277001"/>
    <w:rsid w:val="002F35F4"/>
    <w:rsid w:val="003025F3"/>
    <w:rsid w:val="00315D69"/>
    <w:rsid w:val="00352B65"/>
    <w:rsid w:val="003D65A0"/>
    <w:rsid w:val="00414E26"/>
    <w:rsid w:val="004E4EDF"/>
    <w:rsid w:val="00513E83"/>
    <w:rsid w:val="0054697A"/>
    <w:rsid w:val="005478FF"/>
    <w:rsid w:val="005560F3"/>
    <w:rsid w:val="00557A20"/>
    <w:rsid w:val="005F2777"/>
    <w:rsid w:val="00660F6D"/>
    <w:rsid w:val="0067096D"/>
    <w:rsid w:val="00682808"/>
    <w:rsid w:val="00686575"/>
    <w:rsid w:val="007F66F2"/>
    <w:rsid w:val="007F6EF9"/>
    <w:rsid w:val="0083560A"/>
    <w:rsid w:val="008C6D34"/>
    <w:rsid w:val="008C74CA"/>
    <w:rsid w:val="008D5000"/>
    <w:rsid w:val="008F47F9"/>
    <w:rsid w:val="00A053A1"/>
    <w:rsid w:val="00A12033"/>
    <w:rsid w:val="00A309F5"/>
    <w:rsid w:val="00A55F45"/>
    <w:rsid w:val="00AB0325"/>
    <w:rsid w:val="00B1041E"/>
    <w:rsid w:val="00B63C2D"/>
    <w:rsid w:val="00B727B6"/>
    <w:rsid w:val="00C9776E"/>
    <w:rsid w:val="00D8760A"/>
    <w:rsid w:val="00E47E52"/>
    <w:rsid w:val="00E850C4"/>
    <w:rsid w:val="00EB3738"/>
    <w:rsid w:val="00FB36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F2777"/>
    <w:pPr>
      <w:ind w:left="720"/>
      <w:contextualSpacing/>
    </w:pPr>
  </w:style>
  <w:style w:type="paragraph" w:customStyle="1" w:styleId="Default">
    <w:name w:val="Default"/>
    <w:rsid w:val="004E4EDF"/>
    <w:pPr>
      <w:autoSpaceDE w:val="0"/>
      <w:autoSpaceDN w:val="0"/>
      <w:adjustRightInd w:val="0"/>
      <w:spacing w:after="0" w:line="240" w:lineRule="auto"/>
    </w:pPr>
    <w:rPr>
      <w:rFonts w:ascii="Tahoma" w:hAnsi="Tahoma" w:cs="Tahoma"/>
      <w:color w:val="000000"/>
      <w:sz w:val="24"/>
      <w:szCs w:val="24"/>
      <w:lang w:val="sr-Cyrl-RS"/>
    </w:rPr>
  </w:style>
  <w:style w:type="paragraph" w:styleId="Tekstbalonia">
    <w:name w:val="Balloon Text"/>
    <w:basedOn w:val="Normal"/>
    <w:link w:val="TekstbaloniaChar"/>
    <w:uiPriority w:val="99"/>
    <w:semiHidden/>
    <w:unhideWhenUsed/>
    <w:rsid w:val="007F66F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F66F2"/>
    <w:rPr>
      <w:rFonts w:ascii="Tahoma" w:hAnsi="Tahoma" w:cs="Tahoma"/>
      <w:sz w:val="16"/>
      <w:szCs w:val="16"/>
    </w:rPr>
  </w:style>
  <w:style w:type="paragraph" w:styleId="Zaglavlje">
    <w:name w:val="header"/>
    <w:basedOn w:val="Normal"/>
    <w:link w:val="ZaglavljeChar"/>
    <w:uiPriority w:val="99"/>
    <w:unhideWhenUsed/>
    <w:rsid w:val="007F66F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F66F2"/>
  </w:style>
  <w:style w:type="paragraph" w:styleId="Podnoje">
    <w:name w:val="footer"/>
    <w:basedOn w:val="Normal"/>
    <w:link w:val="PodnojeChar"/>
    <w:uiPriority w:val="99"/>
    <w:unhideWhenUsed/>
    <w:rsid w:val="007F66F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F66F2"/>
  </w:style>
  <w:style w:type="paragraph" w:styleId="Bezproreda">
    <w:name w:val="No Spacing"/>
    <w:uiPriority w:val="1"/>
    <w:qFormat/>
    <w:rsid w:val="007F66F2"/>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F2777"/>
    <w:pPr>
      <w:ind w:left="720"/>
      <w:contextualSpacing/>
    </w:pPr>
  </w:style>
  <w:style w:type="paragraph" w:customStyle="1" w:styleId="Default">
    <w:name w:val="Default"/>
    <w:rsid w:val="004E4EDF"/>
    <w:pPr>
      <w:autoSpaceDE w:val="0"/>
      <w:autoSpaceDN w:val="0"/>
      <w:adjustRightInd w:val="0"/>
      <w:spacing w:after="0" w:line="240" w:lineRule="auto"/>
    </w:pPr>
    <w:rPr>
      <w:rFonts w:ascii="Tahoma" w:hAnsi="Tahoma" w:cs="Tahoma"/>
      <w:color w:val="000000"/>
      <w:sz w:val="24"/>
      <w:szCs w:val="24"/>
      <w:lang w:val="sr-Cyrl-RS"/>
    </w:rPr>
  </w:style>
  <w:style w:type="paragraph" w:styleId="Tekstbalonia">
    <w:name w:val="Balloon Text"/>
    <w:basedOn w:val="Normal"/>
    <w:link w:val="TekstbaloniaChar"/>
    <w:uiPriority w:val="99"/>
    <w:semiHidden/>
    <w:unhideWhenUsed/>
    <w:rsid w:val="007F66F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F66F2"/>
    <w:rPr>
      <w:rFonts w:ascii="Tahoma" w:hAnsi="Tahoma" w:cs="Tahoma"/>
      <w:sz w:val="16"/>
      <w:szCs w:val="16"/>
    </w:rPr>
  </w:style>
  <w:style w:type="paragraph" w:styleId="Zaglavlje">
    <w:name w:val="header"/>
    <w:basedOn w:val="Normal"/>
    <w:link w:val="ZaglavljeChar"/>
    <w:uiPriority w:val="99"/>
    <w:unhideWhenUsed/>
    <w:rsid w:val="007F66F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F66F2"/>
  </w:style>
  <w:style w:type="paragraph" w:styleId="Podnoje">
    <w:name w:val="footer"/>
    <w:basedOn w:val="Normal"/>
    <w:link w:val="PodnojeChar"/>
    <w:uiPriority w:val="99"/>
    <w:unhideWhenUsed/>
    <w:rsid w:val="007F66F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F66F2"/>
  </w:style>
  <w:style w:type="paragraph" w:styleId="Bezproreda">
    <w:name w:val="No Spacing"/>
    <w:uiPriority w:val="1"/>
    <w:qFormat/>
    <w:rsid w:val="007F66F2"/>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669831">
      <w:bodyDiv w:val="1"/>
      <w:marLeft w:val="0"/>
      <w:marRight w:val="0"/>
      <w:marTop w:val="0"/>
      <w:marBottom w:val="0"/>
      <w:divBdr>
        <w:top w:val="none" w:sz="0" w:space="0" w:color="auto"/>
        <w:left w:val="none" w:sz="0" w:space="0" w:color="auto"/>
        <w:bottom w:val="none" w:sz="0" w:space="0" w:color="auto"/>
        <w:right w:val="none" w:sz="0" w:space="0" w:color="auto"/>
      </w:divBdr>
    </w:div>
    <w:div w:id="165946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413F-3B42-4D66-B1B1-80474940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4708</Words>
  <Characters>26838</Characters>
  <Application>Microsoft Office Word</Application>
  <DocSecurity>0</DocSecurity>
  <Lines>223</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korisnik</cp:lastModifiedBy>
  <cp:revision>11</cp:revision>
  <cp:lastPrinted>2016-04-13T11:22:00Z</cp:lastPrinted>
  <dcterms:created xsi:type="dcterms:W3CDTF">2016-04-13T10:53:00Z</dcterms:created>
  <dcterms:modified xsi:type="dcterms:W3CDTF">2016-04-13T11:26:00Z</dcterms:modified>
</cp:coreProperties>
</file>